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46" w:rsidRPr="003A788F" w:rsidRDefault="00421746" w:rsidP="003A78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i/>
          <w:sz w:val="20"/>
          <w:szCs w:val="20"/>
        </w:rPr>
        <w:t>Титульный лист программы</w:t>
      </w:r>
      <w:r w:rsidRPr="003A788F">
        <w:rPr>
          <w:rFonts w:ascii="Times New Roman" w:hAnsi="Times New Roman" w:cs="Times New Roman"/>
          <w:sz w:val="20"/>
          <w:szCs w:val="20"/>
        </w:rPr>
        <w:t>.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Раздел 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>. «Комплекс основных характеристик дополнительной общеобразовательной</w:t>
      </w:r>
      <w:r w:rsidR="00BC0A20" w:rsidRPr="003A78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>программы».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 Пояснительная записка. 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2.Цель и задачи программы. 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3. Содержание программы:</w:t>
      </w:r>
    </w:p>
    <w:p w:rsidR="00421746" w:rsidRPr="003A788F" w:rsidRDefault="00421746" w:rsidP="003A788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-учебный план;</w:t>
      </w:r>
    </w:p>
    <w:p w:rsidR="00421746" w:rsidRPr="003A788F" w:rsidRDefault="00421746" w:rsidP="003A788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-содержание учебного плана.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4.Планируемые результаты.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21746" w:rsidRPr="003A788F" w:rsidRDefault="00421746" w:rsidP="003A788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Раздел 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II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>. «Комплекс организационно-педагогических условий».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788F">
        <w:rPr>
          <w:rFonts w:ascii="Times New Roman" w:hAnsi="Times New Roman" w:cs="Times New Roman"/>
          <w:i/>
          <w:sz w:val="20"/>
          <w:szCs w:val="20"/>
        </w:rPr>
        <w:t>1.Условия реализации программы.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788F">
        <w:rPr>
          <w:rFonts w:ascii="Times New Roman" w:hAnsi="Times New Roman" w:cs="Times New Roman"/>
          <w:i/>
          <w:sz w:val="20"/>
          <w:szCs w:val="20"/>
        </w:rPr>
        <w:t>2.Формы аттестации/контроля.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788F">
        <w:rPr>
          <w:rFonts w:ascii="Times New Roman" w:hAnsi="Times New Roman" w:cs="Times New Roman"/>
          <w:i/>
          <w:sz w:val="20"/>
          <w:szCs w:val="20"/>
        </w:rPr>
        <w:t>3.Оценочные материалы (описание оценочных материалов, обоснование применения).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4.Методические материалы.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5.Список литературы.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788F">
        <w:rPr>
          <w:rFonts w:ascii="Times New Roman" w:hAnsi="Times New Roman" w:cs="Times New Roman"/>
          <w:i/>
          <w:sz w:val="20"/>
          <w:szCs w:val="20"/>
        </w:rPr>
        <w:t>6.Календарный учебный график (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>обязательное приложение</w:t>
      </w:r>
      <w:r w:rsidRPr="003A788F">
        <w:rPr>
          <w:rFonts w:ascii="Times New Roman" w:hAnsi="Times New Roman" w:cs="Times New Roman"/>
          <w:i/>
          <w:sz w:val="20"/>
          <w:szCs w:val="20"/>
        </w:rPr>
        <w:t xml:space="preserve"> к программе).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788F">
        <w:rPr>
          <w:rFonts w:ascii="Times New Roman" w:hAnsi="Times New Roman" w:cs="Times New Roman"/>
          <w:i/>
          <w:sz w:val="20"/>
          <w:szCs w:val="20"/>
        </w:rPr>
        <w:t>7.Пакет оценочных материалов (</w:t>
      </w:r>
      <w:r w:rsidRPr="003A788F">
        <w:rPr>
          <w:rFonts w:ascii="Times New Roman" w:hAnsi="Times New Roman" w:cs="Times New Roman"/>
          <w:i/>
          <w:sz w:val="20"/>
          <w:szCs w:val="20"/>
          <w:u w:val="single"/>
        </w:rPr>
        <w:t>обязательное приложение</w:t>
      </w:r>
      <w:r w:rsidRPr="003A788F">
        <w:rPr>
          <w:rFonts w:ascii="Times New Roman" w:hAnsi="Times New Roman" w:cs="Times New Roman"/>
          <w:i/>
          <w:sz w:val="20"/>
          <w:szCs w:val="20"/>
        </w:rPr>
        <w:t xml:space="preserve"> к программе).</w:t>
      </w:r>
    </w:p>
    <w:p w:rsidR="00421746" w:rsidRPr="003A788F" w:rsidRDefault="00421746" w:rsidP="003A78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A788F">
        <w:rPr>
          <w:rFonts w:ascii="Times New Roman" w:hAnsi="Times New Roman" w:cs="Times New Roman"/>
          <w:i/>
          <w:color w:val="000000"/>
          <w:sz w:val="20"/>
          <w:szCs w:val="20"/>
        </w:rPr>
        <w:t>8.Приложения (репертуар, методические разработки и др.).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 xml:space="preserve">3.3. Требования к содержанию структурных разделов  программы: 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1675"/>
        <w:gridCol w:w="7362"/>
      </w:tblGrid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Структура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структурных компонентов программы</w:t>
            </w: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Титульный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лист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наименование вышестоящих органов образования (по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подчиненности учреждения, организации);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организации (согласно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формулировке устава организации);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дата и № протокола методического совета, рекомендовавшего</w:t>
            </w:r>
            <w:r w:rsidR="009D3F28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программу к реализаци</w:t>
            </w:r>
            <w:bookmarkStart w:id="0" w:name="_GoBack"/>
            <w:bookmarkEnd w:id="0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гриф утверждения программы (с указанием ФИО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руководителя, даты и номера приказа);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название программы;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адресат программы (возраст участников программы);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ФИО, должность разработчика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) программы;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место (город, другой населенный пункт) и год разработкипрограммы.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(Приложение 1)</w:t>
            </w: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Пояснительная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записка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Этот раздел направлен на отражение общей характеристики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программы: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(профиль) программы –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техническая,</w:t>
            </w:r>
            <w:r w:rsidR="00BC0A20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естественнонаучная, физкультурно-спортивная, художественная, туристско-краеведческая, военно-патриотическая, культурологическая;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актуальность программы – своевременность, необходимость, соответствие потребностям времени;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программы – основные идеи,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 программу от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адресат программы – краткая характеристика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 программе, возрастные особенности, иные медико-психолого-педагогические характеристики;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объем и срок освоения программы – общее количество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учебных часов, запланированных на весь период обучения инеобходимых для освоения программы; определяется содержанием и прогнозируемыми результатами программы; характеризуется продолжительностью программы (количество месяцев, лет, необходимых для ее освоения);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формы обучения – очная, очно-заочная или заочная формы (Закон № 273-ФЗ, гл. 2, ст. 17, п. 2), а также «допускается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форм получения образования и форм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обучения» (Закон № 273-ФЗ, гл. 2, ст. 17, п. 4);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образовательной деятельности – в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соответствии с индивидуальными учебными планами в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объединениях по интересам, сформированных в группы учащихся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одного возраста или разных возрастных категорий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(разновозрастные группы), являющиеся основным составом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объединения (например, клубы, секции, кружки, лаборатории,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студии, оркестры, творческие коллективы, ансамбли, театры)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(далее - объединения) (Приказ №1008,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п.7); состав группы (постоянный, переменный и др.).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режим занятий, периодичность и продолжительность</w:t>
            </w:r>
            <w:r w:rsidR="00BC0A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занятий – общее количество часов в год; количество часов изанятий в неделю; периодичность и продолжительность занятий.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BC0A20" w:rsidP="003A78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ссылок в</w:t>
            </w:r>
            <w:r w:rsidR="00421746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пояснительной записке</w:t>
            </w:r>
            <w:r w:rsidR="00421746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746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на нормативно-правовые документы,</w:t>
            </w:r>
            <w:r w:rsidR="00421746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746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указываемые документы</w:t>
            </w:r>
            <w:r w:rsidR="00421746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746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должны быть актуальными, не утратившими силу.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Цель – это предполагаемый результат образовательного процесса, к которому надо стремиться. 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При характеристике цели следует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избегать общих абстрактных формулировок.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должна быть связана с наименованием программы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отражать ее основную направленность и желаемый конечный результат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Конкретизация цели осуществляется через определение задач, раскрывающих пути достижения цели. 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Задачи показывают, что нужно сделать, чтобы достичь цели.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При формулировании задач можно воспользоваться следующей их классификацией: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личностные - формирование общественной активности</w:t>
            </w:r>
            <w:r w:rsidR="00BD41AB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личности, гражданской позиции, культуры общения и поведения в социуме, навыков здорового образа жизни и т.п.;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spell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мотивации к определенному</w:t>
            </w:r>
            <w:r w:rsidR="00BD41AB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виду деятельности, потребности в саморазвитии,</w:t>
            </w:r>
            <w:r w:rsidR="00BD41AB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самостоятельности, ответственности, активности, аккуратности и т.п.;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(предметные) - развитие познавательного</w:t>
            </w:r>
            <w:r w:rsidR="00BD41AB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интереса к чему-либо, включение в познавательную деятельность, приобретение определенных знаний, умений, навыков, компетенций и т.п.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должны быть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сформулированы конкретно, точно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должны соответствовать прогнозируемым результатам.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должно быть отражено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учебном плане</w:t>
            </w:r>
            <w:r w:rsidR="00BD41AB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="00BD41AB" w:rsidRPr="003A78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содержании учебного плана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Учебный план (УП) содержит следующие о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бязательные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элементы: перечень, трудоемкость, последовательность и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 (Закон № 273-ФЗ, ст. 2, п. 22; ст. 47, п. 5) (см. Приложение 2).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учебного плана – реферативное описание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разделов и тем программы в соответствии с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последовательностью, заданной учебным планом, включая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теоретических и практических частей и форм контроля по каждой теме; должен соответствовать </w:t>
            </w:r>
            <w:proofErr w:type="spellStart"/>
            <w:r w:rsidR="00994F57" w:rsidRPr="003A788F">
              <w:rPr>
                <w:rFonts w:ascii="Times New Roman" w:hAnsi="Times New Roman" w:cs="Times New Roman"/>
                <w:sz w:val="20"/>
                <w:szCs w:val="20"/>
              </w:rPr>
              <w:t>целее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полаганию</w:t>
            </w:r>
            <w:proofErr w:type="spell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прогнозируемым результатам освоения программы.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При оформлении содержания следует придерживаться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ряда общих правил: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E0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составляется согласно УП;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E0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формулировка и порядок расположения разделов и тем</w:t>
            </w:r>
            <w:r w:rsidR="00BC2620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должны полностью соответствовать их формулировке ирасположению в УП;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E0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соблюдать деление на теорию и практику покаждому разделу (теме);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E0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следует излагать назывными предложениями;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E0"/>
            </w:r>
            <w:r w:rsidR="00D47A0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содержание каждого года обучения целесообразно</w:t>
            </w:r>
            <w:r w:rsidR="00D47A0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оформлять отдельно;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E0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 могут размещаться ссылки на приложения</w:t>
            </w:r>
            <w:r w:rsidR="00D47A0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(например, на правила выполнения упражнений, репертуар и т.п.);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E0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 могут быть представлены вариативные</w:t>
            </w:r>
            <w:r w:rsidR="00D47A0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образовательные маршруты.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Courier New" w:hAnsi="Courier New" w:cs="Courier New"/>
                <w:b/>
                <w:sz w:val="20"/>
                <w:szCs w:val="20"/>
              </w:rPr>
              <w:t>♦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Если программа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имеет сложную структуру (например,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из нескольких модулей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), то она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должна иметь целостный вид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, общую концептуальную основу, последовательность. Части (модули) программы должны быть взаимосвязаны</w:t>
            </w:r>
            <w:r w:rsidR="00D47A0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 представлять одну дополнительную общеобразовательную программу, в точности соответствующую данному положению.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Courier New" w:hAnsi="Courier New" w:cs="Courier New"/>
                <w:sz w:val="20"/>
                <w:szCs w:val="20"/>
              </w:rPr>
              <w:t>♦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когда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рассчитана на несколько лет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программы, учебный план, календарный учебный график должны соответствовать срокам реализации программы.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Courier New" w:hAnsi="Courier New" w:cs="Courier New"/>
                <w:sz w:val="20"/>
                <w:szCs w:val="20"/>
              </w:rPr>
              <w:t>♦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Согласно Приказу </w:t>
            </w:r>
            <w:proofErr w:type="spell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29 августа 2013 г. № 1008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педагогом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работающим на постоянной основе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47A0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gramEnd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реализуется в течение всего календарного года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включая каникулярное время, таким образом, за исключением отпуска, основной педагог ДО реализует программу с 1 сентября по 31 августа, что должно быть отображено в программе.</w:t>
            </w: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В этой части необходимо сформулировать: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знаниям и умениям, которые должен</w:t>
            </w:r>
            <w:r w:rsidR="00D84E74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приобрести обучающийся в процессе занятий по программе (т.е. что он должен знать и уметь);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и личностные качества, которые могут быть</w:t>
            </w:r>
            <w:r w:rsidR="00D84E74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сформированы и развиты у детей в результате занятий попрограмме;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личностные, </w:t>
            </w:r>
            <w:proofErr w:type="spell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предметные результаты,</w:t>
            </w:r>
            <w:r w:rsidR="00D84E74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которые приобретет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освоения программы.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Данные характеристики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формулируются с учетом цели и</w:t>
            </w:r>
            <w:r w:rsidR="00D84E74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задач программы.</w:t>
            </w:r>
          </w:p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К условиям реализации программы относится характеристика</w:t>
            </w:r>
            <w:r w:rsidR="00D84E74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следующих аспектов: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материально-техническое обеспечение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– характеристика</w:t>
            </w:r>
            <w:r w:rsidR="000657EC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помещения для занятий по программе; перечень оборудования, инструментов и материалов, необходимых для реализации программы (в расчете на количество обучающихся);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информационное обеспечение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– аудио-, видео-, фото-, интернет источники;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кадровое обеспечение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– целесообразно перечислить педагогов и сотрудников различных организаций (библиотек, музеев, культурно-досуговых клубов и пр. в рамках сетевого взаимодействия), занятых в реализации программы, охарактеризовать их профессионализм, квалификацию 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Наличные условия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программы описываются подробно</w:t>
            </w:r>
            <w:r w:rsidR="000657EC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вышеизложенным требованиям для того, чтобы картина условий была подробная, целостная и информативная.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В ситуации, когда для реализации программы помимо</w:t>
            </w:r>
            <w:r w:rsidR="000657EC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наличного материально-технического, информационного, кадрового обеспечения, существует потребность в каких-либо иных условиях реализации программы, это необходимо также указать.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аттестации/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421746" w:rsidRPr="003A788F" w:rsidRDefault="00421746" w:rsidP="003A78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Разрабатываются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обосновываются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</w:t>
            </w:r>
            <w:r w:rsidR="00D578E7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результативности освоения программы. Призваны отражать</w:t>
            </w:r>
            <w:r w:rsidR="00D578E7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достижения цели и задач программы.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Перечисляются согласно учебному плану и календарному учебному графику (зачет, творческая работа, выставка, конкурс, фестиваль и др.).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Формы отслеживания, фиксации и предъявления образовательных</w:t>
            </w:r>
            <w:r w:rsidR="00D578E7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результатов: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тестирования, методическая разработка, портфолио, перечень готовых работ, протокол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соревнований, фото, отзыв детей и родителей, свидетельство (сертификат), статья,</w:t>
            </w:r>
            <w:r w:rsidR="003B7511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аналитический материал по итогам проведения</w:t>
            </w:r>
            <w:r w:rsidR="003B7511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диагностики, аналитическая справка, выставка, готовое изделие, демонстрация моделей, диагностическая карта, защита проектных</w:t>
            </w:r>
            <w:proofErr w:type="gramEnd"/>
            <w:r w:rsidR="003B7511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 исследовательских работ, конкурс, концерт,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разделе отражается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(пакет) диагностических методик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, позволяющих определить достижение учащимися планируемых результатов (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Закон № 273-ФЗ, ст. 2, п. 9; ст. 47, п.5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Пакет диагностических методик для определения результативности программы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должен в точности соответствовать заявленным планируемым результатам</w:t>
            </w:r>
            <w:r w:rsidR="003B7511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с целью отслеживания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каждого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из них.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Пакет диагностических методик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 дополнительного образования должен быть активным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т.е. постоянно и систематично применяемым на практике.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раздел представляет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методики</w:t>
            </w:r>
            <w:r w:rsidR="003349B9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программе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и включает в себя: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организации образовательной деятельности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– очно, очно-заочно, дистанционно, в условиях сетевого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взаимодействия и др.;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(словесный, наглядный, практический;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объяснительно-иллюстративный, репродуктивный, частично-поисковый, исследовательский, проблемный, игровой,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дискуссионный, проектный и др.) и воспитания (убеждение,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поощрение, упражнение, стимулирование, мотивация и др.);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образовательной деятельности: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, индивидуально-групповая и групповая; выбор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той или иной формы обосновывается с позиции профиля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деятельности (музыкального, спортивного, художественного идр.), категории обучающихся (дети-инвалиды, дети с ОВЗ) и др.;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учебного занятия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- акция, аукцион,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бенефис, беседа, вернисаж, встреча с интересными людьми,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выставка, галерея, гостиная, диспут, защита проектов, игра,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концерт, КВН, конкурс, конференция, круглый стол, круиз,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лабораторное занятие, лекция, мастер-класс, «мозговой штурм»,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наблюдение, олимпиада, открытое занятие, посиделки, поход,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праздник, практическое занятие, представление, презентация,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рейд, ринг, салон, семинар, соревнование, спектакль, студия,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мастерская, тренинг, турнир, фабрика, фестиваль,</w:t>
            </w:r>
            <w:r w:rsidR="009D3F28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чемпионат, шоу, экскурсия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, экзамен, экспедиция, эксперимент,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эстафета, ярмарка;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технология индивидуализации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обучения, технология группового обучения, технология</w:t>
            </w:r>
            <w:r w:rsidR="00FA229D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коллективного </w:t>
            </w:r>
            <w:proofErr w:type="spell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, технология программированного</w:t>
            </w:r>
            <w:r w:rsidR="00FA229D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обучения, технология модульного обучения, технология блочно-модульного обучения, технология дифференцированного обучения,</w:t>
            </w:r>
            <w:r w:rsidR="00FA229D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разноуровневого</w:t>
            </w:r>
            <w:proofErr w:type="spell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технология развивающего</w:t>
            </w:r>
            <w:r w:rsidR="00FA229D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обучения, технология проблемного обучения, технология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дистанционного обучения, технология исследовательской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деятельности, технология проектной деятельности, технология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игровой деятельности, коммуникативная технология обучения,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технология коллективной творческой деятельности, технология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развития критического мышления через чтение и письмо,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портфолио, технология педагогической мастерской,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технология образа и мысли, технология решения изобретательских</w:t>
            </w:r>
            <w:r w:rsidR="00FA229D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задач, здоровьесберегающая технология, 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технология-дебаты</w:t>
            </w:r>
            <w:proofErr w:type="gramEnd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учебного занятия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– краткое описание структуры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занятия и его этапов;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материалы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описание раздаточных материалов,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инструкционных, технологических карт, заданий, упражнений, образцов изделий и т.п.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Список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составлении списка литературы необходимо учитывать: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основную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дополнительную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учебную литературу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: учебные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пособия, сборники упражнений, контрольных заданий, тестов,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практических работ и практикумов, хрестоматии;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 материал: альбомы, атласы, карты, таблицы.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(обязательно)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r w:rsidRPr="003A788F">
              <w:rPr>
                <w:rFonts w:ascii="Times New Roman" w:hAnsi="Times New Roman" w:cs="Times New Roman"/>
                <w:i/>
                <w:sz w:val="20"/>
                <w:szCs w:val="20"/>
              </w:rPr>
              <w:t>может быть</w:t>
            </w:r>
            <w:r w:rsidR="003349B9" w:rsidRPr="003A7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помимо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основной и дополнительной литературы)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составлен для разных участников</w:t>
            </w:r>
            <w:r w:rsidR="003349B9"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образовательного процесса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(педагогов, детей, родителей).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Список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оформляется в соответствии с ГОСТ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 оформлению</w:t>
            </w:r>
            <w:r w:rsidR="003349B9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библиографических ссылок</w:t>
            </w:r>
            <w:r w:rsidR="003349B9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(схема указателя:</w:t>
            </w:r>
            <w:proofErr w:type="gramEnd"/>
            <w:r w:rsidR="003349B9" w:rsidRPr="003A788F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A788F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Ф.И.О. автора, заглавие, подзаголовок, составитель, редактор, </w:t>
            </w:r>
            <w:r w:rsidRPr="003A788F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место издания, издательство, год издания).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Календарный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график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учебный график (КУГ) –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это составная часть</w:t>
            </w:r>
            <w:r w:rsidR="00E025F0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Закон № 273-ФЗ, гл. 1, ст. 2, п. 9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КУГ должен содержать следующую информацию: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указание группы учащихся (года обучения)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учебных недель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учебных часов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учебных периодов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формы занятий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формы аттестации/контроля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даты проведения (по плану и по факту)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sym w:font="Symbol" w:char="F0A8"/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название разделов и тем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(Приложение 3).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Календарный учебный график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 обязательным приложением к дополнительной общеобразовательной программе.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педагоги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</w:t>
            </w:r>
            <w:r w:rsidR="00E025F0"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план воспитательных мероприятий на летний период,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который является продолжением календарного учебного графика и включается в </w:t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gramEnd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, которая отдается на утверждение до начала учебного года.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 </w:t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оценочных</w:t>
            </w:r>
            <w:proofErr w:type="gramEnd"/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Оценочные материалы – обязательная составляющая программы (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Закон № 273-ФЗ, ст. 2, п. 9; ст. 47, п.5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Пакет оценочных материалов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обязательное приложение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 дополнительной общеобразовательной программе.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594" w:type="dxa"/>
          </w:tcPr>
          <w:p w:rsidR="00421746" w:rsidRPr="003A788F" w:rsidRDefault="00421746" w:rsidP="003A78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</w:t>
            </w:r>
          </w:p>
        </w:tc>
        <w:tc>
          <w:tcPr>
            <w:tcW w:w="7362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Репертуар, методические разработки и др.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Так как понятие</w:t>
      </w:r>
      <w:r w:rsidR="00E025F0" w:rsidRPr="003A788F">
        <w:rPr>
          <w:rFonts w:ascii="Times New Roman" w:hAnsi="Times New Roman" w:cs="Times New Roman"/>
          <w:sz w:val="20"/>
          <w:szCs w:val="20"/>
        </w:rPr>
        <w:t xml:space="preserve"> </w:t>
      </w:r>
      <w:r w:rsidRPr="003A788F">
        <w:rPr>
          <w:rFonts w:ascii="Times New Roman" w:hAnsi="Times New Roman" w:cs="Times New Roman"/>
          <w:sz w:val="20"/>
          <w:szCs w:val="20"/>
        </w:rPr>
        <w:t xml:space="preserve">«образовательная программа» закрепляется законодательно, то </w:t>
      </w:r>
      <w:r w:rsidRPr="003A788F">
        <w:rPr>
          <w:rFonts w:ascii="Times New Roman" w:hAnsi="Times New Roman" w:cs="Times New Roman"/>
          <w:b/>
          <w:bCs/>
          <w:sz w:val="20"/>
          <w:szCs w:val="20"/>
        </w:rPr>
        <w:t>все разрабатываемые образовательные программы должны</w:t>
      </w:r>
      <w:r w:rsidRPr="003A788F">
        <w:rPr>
          <w:rFonts w:ascii="Times New Roman" w:hAnsi="Times New Roman" w:cs="Times New Roman"/>
          <w:sz w:val="20"/>
          <w:szCs w:val="20"/>
        </w:rPr>
        <w:t xml:space="preserve"> вписываться в законодательно установленные рамки, то есть должны </w:t>
      </w:r>
      <w:r w:rsidRPr="003A788F">
        <w:rPr>
          <w:rFonts w:ascii="Times New Roman" w:hAnsi="Times New Roman" w:cs="Times New Roman"/>
          <w:b/>
          <w:bCs/>
          <w:sz w:val="20"/>
          <w:szCs w:val="20"/>
        </w:rPr>
        <w:t>в своей структуре  содержать обозначенные структурные элементы.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b/>
          <w:bCs/>
          <w:sz w:val="20"/>
          <w:szCs w:val="20"/>
        </w:rPr>
        <w:t>В противном случае, документ не может называться «образовательной программой</w:t>
      </w:r>
      <w:r w:rsidR="00E025F0" w:rsidRPr="003A788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3A788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 xml:space="preserve">4. Написанную и оформленную дополнительную общеобразовательную программу педагог сдает администрации МБУ ДО ХМР  не позднее, чем </w:t>
      </w:r>
      <w:r w:rsidRPr="003A788F">
        <w:rPr>
          <w:rFonts w:ascii="Times New Roman" w:hAnsi="Times New Roman" w:cs="Times New Roman"/>
          <w:sz w:val="20"/>
          <w:szCs w:val="20"/>
          <w:u w:val="single"/>
        </w:rPr>
        <w:t>за две недели до начала учебного года.</w:t>
      </w:r>
      <w:r w:rsidRPr="003A788F">
        <w:rPr>
          <w:rFonts w:ascii="Times New Roman" w:hAnsi="Times New Roman" w:cs="Times New Roman"/>
          <w:sz w:val="20"/>
          <w:szCs w:val="20"/>
        </w:rPr>
        <w:t xml:space="preserve"> За этот срок проводится целостная экспертиза назначенными экспертами из числа специалистов учреждения (педагоги высокой квалификации, методисты) и</w:t>
      </w:r>
      <w:r w:rsidR="00190151" w:rsidRPr="003A788F">
        <w:rPr>
          <w:rFonts w:ascii="Times New Roman" w:hAnsi="Times New Roman" w:cs="Times New Roman"/>
          <w:sz w:val="20"/>
          <w:szCs w:val="20"/>
        </w:rPr>
        <w:t xml:space="preserve"> утверждается для реализации</w:t>
      </w:r>
      <w:r w:rsidRPr="003A788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При наличии серьезных и обоснованных претензий со стороны специалистов, представленный программный материал педагогу следует доработать в установленный срок.</w:t>
      </w:r>
    </w:p>
    <w:p w:rsidR="00421746" w:rsidRPr="003A788F" w:rsidRDefault="00421746" w:rsidP="003A78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br w:type="page"/>
      </w:r>
    </w:p>
    <w:p w:rsidR="00421746" w:rsidRPr="003A788F" w:rsidRDefault="00FA229D" w:rsidP="003A788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Комитет по образованию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Администрации Ханты-Мансийского района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8F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  <w:proofErr w:type="gramStart"/>
      <w:r w:rsidRPr="003A788F"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proofErr w:type="gramEnd"/>
    </w:p>
    <w:p w:rsidR="00421746" w:rsidRPr="003A788F" w:rsidRDefault="00421746" w:rsidP="003A788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8F">
        <w:rPr>
          <w:rFonts w:ascii="Times New Roman" w:hAnsi="Times New Roman" w:cs="Times New Roman"/>
          <w:b/>
          <w:sz w:val="20"/>
          <w:szCs w:val="20"/>
        </w:rPr>
        <w:t xml:space="preserve"> образования Ханты-Мансийского района</w:t>
      </w:r>
    </w:p>
    <w:p w:rsidR="00421746" w:rsidRPr="003A788F" w:rsidRDefault="00421746" w:rsidP="003A788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Принята на заседании</w:t>
      </w:r>
      <w:proofErr w:type="gramStart"/>
      <w:r w:rsidRPr="003A788F">
        <w:rPr>
          <w:rFonts w:ascii="Times New Roman" w:hAnsi="Times New Roman" w:cs="Times New Roman"/>
          <w:sz w:val="20"/>
          <w:szCs w:val="20"/>
        </w:rPr>
        <w:t xml:space="preserve">  </w:t>
      </w:r>
      <w:r w:rsidR="00FA229D" w:rsidRPr="003A78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3A788F">
        <w:rPr>
          <w:rFonts w:ascii="Times New Roman" w:hAnsi="Times New Roman" w:cs="Times New Roman"/>
          <w:sz w:val="20"/>
          <w:szCs w:val="20"/>
        </w:rPr>
        <w:t xml:space="preserve">   У</w:t>
      </w:r>
      <w:proofErr w:type="gramEnd"/>
      <w:r w:rsidRPr="003A788F">
        <w:rPr>
          <w:rFonts w:ascii="Times New Roman" w:hAnsi="Times New Roman" w:cs="Times New Roman"/>
          <w:sz w:val="20"/>
          <w:szCs w:val="20"/>
        </w:rPr>
        <w:t>тверждаю</w:t>
      </w:r>
    </w:p>
    <w:p w:rsidR="00421746" w:rsidRPr="003A788F" w:rsidRDefault="00421746" w:rsidP="003A788F">
      <w:pPr>
        <w:spacing w:after="0" w:line="240" w:lineRule="auto"/>
        <w:ind w:right="566"/>
        <w:contextualSpacing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Методического совета                                            Директор МБУ ДО ХМР</w:t>
      </w:r>
    </w:p>
    <w:p w:rsidR="00421746" w:rsidRPr="003A788F" w:rsidRDefault="00421746" w:rsidP="003A788F">
      <w:pPr>
        <w:spacing w:after="0" w:line="240" w:lineRule="auto"/>
        <w:ind w:left="-142" w:right="566" w:firstLine="142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 xml:space="preserve">от «___» _________ 20____г.                                  ________Н.И. </w:t>
      </w:r>
      <w:proofErr w:type="spellStart"/>
      <w:r w:rsidRPr="003A788F">
        <w:rPr>
          <w:rFonts w:ascii="TimesNewRomanPSMT" w:hAnsi="TimesNewRomanPSMT" w:cs="TimesNewRomanPSMT"/>
          <w:sz w:val="20"/>
          <w:szCs w:val="20"/>
        </w:rPr>
        <w:t>Фуртунэ</w:t>
      </w:r>
      <w:proofErr w:type="spellEnd"/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 xml:space="preserve">Протокол № ____                                         Приказ №____от «___» ___20___г  </w:t>
      </w: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88F">
        <w:rPr>
          <w:rFonts w:ascii="Times New Roman" w:hAnsi="Times New Roman" w:cs="Times New Roman"/>
          <w:b/>
          <w:bCs/>
          <w:sz w:val="20"/>
          <w:szCs w:val="20"/>
        </w:rPr>
        <w:t>Дополнительная общеобразовательная программа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88F">
        <w:rPr>
          <w:rFonts w:ascii="Times New Roman" w:hAnsi="Times New Roman" w:cs="Times New Roman"/>
          <w:b/>
          <w:bCs/>
          <w:sz w:val="20"/>
          <w:szCs w:val="20"/>
        </w:rPr>
        <w:t>___________________ направленности</w:t>
      </w: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88F">
        <w:rPr>
          <w:rFonts w:ascii="Times New Roman" w:hAnsi="Times New Roman" w:cs="Times New Roman"/>
          <w:b/>
          <w:bCs/>
          <w:sz w:val="20"/>
          <w:szCs w:val="20"/>
        </w:rPr>
        <w:t>«_____________________»</w:t>
      </w: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 xml:space="preserve">возраст </w:t>
      </w:r>
      <w:proofErr w:type="gramStart"/>
      <w:r w:rsidRPr="003A788F">
        <w:rPr>
          <w:rFonts w:ascii="TimesNewRomanPSMT" w:hAnsi="TimesNewRomanPSMT" w:cs="TimesNewRomanPSMT"/>
          <w:sz w:val="20"/>
          <w:szCs w:val="20"/>
        </w:rPr>
        <w:t>обучающихся</w:t>
      </w:r>
      <w:proofErr w:type="gramEnd"/>
      <w:r w:rsidRPr="003A788F"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 xml:space="preserve">срок реализации: </w:t>
      </w: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after="0" w:line="240" w:lineRule="auto"/>
        <w:ind w:right="566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>Автор-составитель: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>____________________ (ФИО полностью),</w:t>
      </w:r>
    </w:p>
    <w:p w:rsidR="00421746" w:rsidRPr="003A788F" w:rsidRDefault="00BC48DC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>п</w:t>
      </w:r>
      <w:r w:rsidR="00421746" w:rsidRPr="003A788F">
        <w:rPr>
          <w:rFonts w:ascii="TimesNewRomanPSMT" w:hAnsi="TimesNewRomanPSMT" w:cs="TimesNewRomanPSMT"/>
          <w:sz w:val="20"/>
          <w:szCs w:val="20"/>
        </w:rPr>
        <w:t>едагог</w:t>
      </w:r>
      <w:r w:rsidRPr="003A788F">
        <w:rPr>
          <w:rFonts w:ascii="TimesNewRomanPSMT" w:hAnsi="TimesNewRomanPSMT" w:cs="TimesNewRomanPSMT"/>
          <w:sz w:val="20"/>
          <w:szCs w:val="20"/>
        </w:rPr>
        <w:t xml:space="preserve"> </w:t>
      </w:r>
      <w:r w:rsidR="00421746" w:rsidRPr="003A788F">
        <w:rPr>
          <w:rFonts w:ascii="TimesNewRomanPSMT" w:hAnsi="TimesNewRomanPSMT" w:cs="TimesNewRomanPSMT"/>
          <w:sz w:val="20"/>
          <w:szCs w:val="20"/>
        </w:rPr>
        <w:t>дополнительного образования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>г. ………………., 2016.</w:t>
      </w:r>
    </w:p>
    <w:p w:rsidR="00421746" w:rsidRPr="003A788F" w:rsidRDefault="00421746" w:rsidP="003A788F">
      <w:pPr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br w:type="page"/>
      </w:r>
    </w:p>
    <w:p w:rsidR="00421746" w:rsidRPr="003A788F" w:rsidRDefault="00FA229D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lastRenderedPageBreak/>
        <w:t>Приложение 2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>Оформление учебного плана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6"/>
        <w:gridCol w:w="2382"/>
        <w:gridCol w:w="1577"/>
        <w:gridCol w:w="1588"/>
        <w:gridCol w:w="1607"/>
        <w:gridCol w:w="1631"/>
      </w:tblGrid>
      <w:tr w:rsidR="00421746" w:rsidRPr="003A788F" w:rsidTr="00155782">
        <w:tc>
          <w:tcPr>
            <w:tcW w:w="817" w:type="dxa"/>
            <w:vMerge w:val="restart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№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п</w:t>
            </w:r>
            <w:proofErr w:type="gramEnd"/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/п</w:t>
            </w:r>
          </w:p>
        </w:tc>
        <w:tc>
          <w:tcPr>
            <w:tcW w:w="2515" w:type="dxa"/>
            <w:vMerge w:val="restart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b/>
                <w:sz w:val="20"/>
                <w:szCs w:val="20"/>
              </w:rPr>
              <w:t>Название раздела,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b/>
                <w:sz w:val="20"/>
                <w:szCs w:val="20"/>
              </w:rPr>
              <w:t>темы</w:t>
            </w:r>
          </w:p>
        </w:tc>
        <w:tc>
          <w:tcPr>
            <w:tcW w:w="4998" w:type="dxa"/>
            <w:gridSpan w:val="3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b/>
                <w:sz w:val="20"/>
                <w:szCs w:val="20"/>
              </w:rPr>
              <w:t>Формы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b/>
                <w:sz w:val="20"/>
                <w:szCs w:val="20"/>
              </w:rPr>
              <w:t>аттестации/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b/>
                <w:sz w:val="20"/>
                <w:szCs w:val="20"/>
              </w:rPr>
              <w:t>контроля</w:t>
            </w:r>
          </w:p>
        </w:tc>
      </w:tr>
      <w:tr w:rsidR="00421746" w:rsidRPr="003A788F" w:rsidTr="00155782">
        <w:tc>
          <w:tcPr>
            <w:tcW w:w="817" w:type="dxa"/>
            <w:vMerge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Всего</w:t>
            </w: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Теория</w:t>
            </w: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Практика</w:t>
            </w:r>
          </w:p>
        </w:tc>
        <w:tc>
          <w:tcPr>
            <w:tcW w:w="1666" w:type="dxa"/>
            <w:vMerge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817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t>Оформление содержания учебного плана (пример)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1746" w:rsidRPr="003A788F" w:rsidTr="00155782">
        <w:tc>
          <w:tcPr>
            <w:tcW w:w="9996" w:type="dxa"/>
          </w:tcPr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Раздел 1. Общая физическая подготовка (ОФП)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Теория: Понятие ОФП. Функции ОФП.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Практика: Освоение навыков физической подготовки: бег по прямой, бег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приставными шагами, бег с высоко поднятыми коленями, челночный бег,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кувырки вперед и назад, приседания на месте, прыжки вверх и др.</w:t>
            </w:r>
          </w:p>
          <w:p w:rsidR="00421746" w:rsidRPr="003A788F" w:rsidRDefault="00421746" w:rsidP="003A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NewRomanPSMT" w:hAnsi="TimesNewRomanPSMT" w:cs="TimesNewRomanPSMT"/>
                <w:sz w:val="20"/>
                <w:szCs w:val="20"/>
              </w:rPr>
              <w:t>Эстафета. Спортивные игры.</w:t>
            </w:r>
          </w:p>
        </w:tc>
      </w:tr>
    </w:tbl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br w:type="page"/>
      </w:r>
    </w:p>
    <w:p w:rsidR="00421746" w:rsidRPr="003A788F" w:rsidRDefault="00FA229D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3A788F">
        <w:rPr>
          <w:rFonts w:ascii="TimesNewRomanPSMT" w:hAnsi="TimesNewRomanPSMT" w:cs="TimesNewRomanPSMT"/>
          <w:sz w:val="20"/>
          <w:szCs w:val="20"/>
        </w:rPr>
        <w:lastRenderedPageBreak/>
        <w:t>Приложение 3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3A788F">
        <w:rPr>
          <w:rFonts w:ascii="TimesNewRomanPSMT" w:hAnsi="TimesNewRomanPSMT" w:cs="TimesNewRomanPSMT"/>
          <w:b/>
          <w:sz w:val="20"/>
          <w:szCs w:val="20"/>
        </w:rPr>
        <w:t>Оформление календарного учебного графика</w:t>
      </w: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Группа ____</w:t>
      </w:r>
      <w:proofErr w:type="gramStart"/>
      <w:r w:rsidRPr="003A788F">
        <w:rPr>
          <w:rFonts w:ascii="Times New Roman" w:hAnsi="Times New Roman" w:cs="Times New Roman"/>
          <w:sz w:val="20"/>
          <w:szCs w:val="20"/>
        </w:rPr>
        <w:t>_-</w:t>
      </w:r>
      <w:proofErr w:type="spellStart"/>
      <w:proofErr w:type="gramEnd"/>
      <w:r w:rsidRPr="003A788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3A788F">
        <w:rPr>
          <w:rFonts w:ascii="Times New Roman" w:hAnsi="Times New Roman" w:cs="Times New Roman"/>
          <w:sz w:val="20"/>
          <w:szCs w:val="20"/>
        </w:rPr>
        <w:t xml:space="preserve"> года обучения, </w:t>
      </w:r>
      <w:r w:rsidRPr="003A788F">
        <w:rPr>
          <w:rFonts w:ascii="Times New Roman" w:hAnsi="Times New Roman" w:cs="Times New Roman"/>
          <w:sz w:val="20"/>
          <w:szCs w:val="20"/>
        </w:rPr>
        <w:softHyphen/>
      </w:r>
      <w:r w:rsidRPr="003A788F">
        <w:rPr>
          <w:rFonts w:ascii="Times New Roman" w:hAnsi="Times New Roman" w:cs="Times New Roman"/>
          <w:sz w:val="20"/>
          <w:szCs w:val="20"/>
        </w:rPr>
        <w:softHyphen/>
      </w:r>
      <w:r w:rsidRPr="003A788F">
        <w:rPr>
          <w:rFonts w:ascii="Times New Roman" w:hAnsi="Times New Roman" w:cs="Times New Roman"/>
          <w:sz w:val="20"/>
          <w:szCs w:val="20"/>
        </w:rPr>
        <w:softHyphen/>
      </w:r>
      <w:r w:rsidRPr="003A788F">
        <w:rPr>
          <w:rFonts w:ascii="Times New Roman" w:hAnsi="Times New Roman" w:cs="Times New Roman"/>
          <w:sz w:val="20"/>
          <w:szCs w:val="20"/>
        </w:rPr>
        <w:softHyphen/>
        <w:t>____ недельных часа, ____ часа в год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Количество учебных недель:  32 учебные недели (36 учебных недель)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Период обучения: с 01 октября (сентября) по 31 мая.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color w:val="FF0000"/>
          <w:sz w:val="20"/>
          <w:szCs w:val="20"/>
        </w:rPr>
      </w:pP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1014"/>
        <w:gridCol w:w="2367"/>
        <w:gridCol w:w="1405"/>
        <w:gridCol w:w="1329"/>
        <w:gridCol w:w="2162"/>
        <w:gridCol w:w="1446"/>
        <w:gridCol w:w="1193"/>
      </w:tblGrid>
      <w:tr w:rsidR="00421746" w:rsidRPr="003A788F" w:rsidTr="00155782">
        <w:tc>
          <w:tcPr>
            <w:tcW w:w="101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05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9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2162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Форма аттестации/</w:t>
            </w:r>
          </w:p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46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193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421746" w:rsidRPr="003A788F" w:rsidTr="00155782">
        <w:tc>
          <w:tcPr>
            <w:tcW w:w="10916" w:type="dxa"/>
            <w:gridSpan w:val="7"/>
            <w:shd w:val="clear" w:color="auto" w:fill="auto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раздела:</w:t>
            </w:r>
          </w:p>
        </w:tc>
      </w:tr>
      <w:tr w:rsidR="00421746" w:rsidRPr="003A788F" w:rsidTr="00155782">
        <w:tc>
          <w:tcPr>
            <w:tcW w:w="1014" w:type="dxa"/>
          </w:tcPr>
          <w:p w:rsidR="00421746" w:rsidRPr="003A788F" w:rsidRDefault="00421746" w:rsidP="003A788F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421746" w:rsidRPr="003A788F" w:rsidRDefault="00421746" w:rsidP="003A78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1014" w:type="dxa"/>
          </w:tcPr>
          <w:p w:rsidR="00421746" w:rsidRPr="003A788F" w:rsidRDefault="00421746" w:rsidP="003A788F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421746" w:rsidRPr="003A788F" w:rsidRDefault="00421746" w:rsidP="003A78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101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421746" w:rsidRPr="003A788F" w:rsidRDefault="00421746" w:rsidP="003A78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3381" w:type="dxa"/>
            <w:gridSpan w:val="2"/>
          </w:tcPr>
          <w:p w:rsidR="00421746" w:rsidRPr="003A788F" w:rsidRDefault="00421746" w:rsidP="003A788F">
            <w:pPr>
              <w:pStyle w:val="a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535" w:type="dxa"/>
            <w:gridSpan w:val="5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8F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421746" w:rsidRPr="003A788F" w:rsidRDefault="00421746" w:rsidP="003A788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8F">
        <w:rPr>
          <w:rFonts w:ascii="Times New Roman" w:hAnsi="Times New Roman" w:cs="Times New Roman"/>
          <w:b/>
          <w:sz w:val="20"/>
          <w:szCs w:val="20"/>
        </w:rPr>
        <w:t>учебно-воспитательных мероприятий</w:t>
      </w:r>
    </w:p>
    <w:p w:rsidR="00421746" w:rsidRPr="003A788F" w:rsidRDefault="00421746" w:rsidP="003A788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8F">
        <w:rPr>
          <w:rFonts w:ascii="Times New Roman" w:hAnsi="Times New Roman" w:cs="Times New Roman"/>
          <w:b/>
          <w:sz w:val="20"/>
          <w:szCs w:val="20"/>
        </w:rPr>
        <w:t>на летний период</w:t>
      </w:r>
    </w:p>
    <w:p w:rsidR="00421746" w:rsidRPr="003A788F" w:rsidRDefault="00421746" w:rsidP="003A788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88F">
        <w:rPr>
          <w:rFonts w:ascii="Times New Roman" w:hAnsi="Times New Roman" w:cs="Times New Roman"/>
          <w:b/>
          <w:sz w:val="20"/>
          <w:szCs w:val="20"/>
        </w:rPr>
        <w:t xml:space="preserve"> _____ года</w:t>
      </w:r>
    </w:p>
    <w:p w:rsidR="00421746" w:rsidRPr="003A788F" w:rsidRDefault="00421746" w:rsidP="003A788F">
      <w:pPr>
        <w:pStyle w:val="a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3A788F">
        <w:rPr>
          <w:rFonts w:ascii="Times New Roman" w:hAnsi="Times New Roman" w:cs="Times New Roman"/>
          <w:color w:val="FF0000"/>
          <w:sz w:val="20"/>
          <w:szCs w:val="20"/>
        </w:rPr>
        <w:t>(для основных педагогов дополнительного образования)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Педагога дополнительного образования: ____________________________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>Количество учебных недель</w:t>
      </w:r>
      <w:r w:rsidRPr="003A788F">
        <w:rPr>
          <w:rFonts w:ascii="Times New Roman" w:hAnsi="Times New Roman" w:cs="Times New Roman"/>
          <w:color w:val="FF0000"/>
          <w:sz w:val="20"/>
          <w:szCs w:val="20"/>
        </w:rPr>
        <w:t>:   4</w:t>
      </w:r>
      <w:r w:rsidRPr="003A788F">
        <w:rPr>
          <w:rFonts w:ascii="Times New Roman" w:hAnsi="Times New Roman" w:cs="Times New Roman"/>
          <w:sz w:val="20"/>
          <w:szCs w:val="20"/>
        </w:rPr>
        <w:t xml:space="preserve"> учебные недели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color w:val="FF0000"/>
          <w:sz w:val="20"/>
          <w:szCs w:val="20"/>
        </w:rPr>
      </w:pPr>
      <w:r w:rsidRPr="003A788F">
        <w:rPr>
          <w:rFonts w:ascii="Times New Roman" w:hAnsi="Times New Roman" w:cs="Times New Roman"/>
          <w:sz w:val="20"/>
          <w:szCs w:val="20"/>
        </w:rPr>
        <w:t xml:space="preserve">Период обучения: </w:t>
      </w:r>
      <w:r w:rsidRPr="003A788F">
        <w:rPr>
          <w:rFonts w:ascii="Times New Roman" w:hAnsi="Times New Roman" w:cs="Times New Roman"/>
          <w:color w:val="FF0000"/>
          <w:sz w:val="20"/>
          <w:szCs w:val="20"/>
        </w:rPr>
        <w:t>с 01 июня по 28 июня (пример).</w:t>
      </w: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055"/>
        <w:gridCol w:w="947"/>
        <w:gridCol w:w="905"/>
        <w:gridCol w:w="4129"/>
        <w:gridCol w:w="1566"/>
        <w:gridCol w:w="1712"/>
      </w:tblGrid>
      <w:tr w:rsidR="00421746" w:rsidRPr="003A788F" w:rsidTr="00155782">
        <w:tc>
          <w:tcPr>
            <w:tcW w:w="1105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21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43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98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21746" w:rsidRPr="003A788F" w:rsidTr="00155782">
        <w:tc>
          <w:tcPr>
            <w:tcW w:w="1105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1105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1105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67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46" w:rsidRPr="003A788F" w:rsidTr="00155782">
        <w:tc>
          <w:tcPr>
            <w:tcW w:w="2993" w:type="dxa"/>
            <w:gridSpan w:val="3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E33BA5" w:rsidRPr="003A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88F">
              <w:rPr>
                <w:rFonts w:ascii="Times New Roman" w:hAnsi="Times New Roman" w:cs="Times New Roman"/>
                <w:sz w:val="20"/>
                <w:szCs w:val="20"/>
              </w:rPr>
              <w:t>запланированных мероприятий:</w:t>
            </w:r>
          </w:p>
        </w:tc>
        <w:tc>
          <w:tcPr>
            <w:tcW w:w="7746" w:type="dxa"/>
            <w:gridSpan w:val="3"/>
          </w:tcPr>
          <w:p w:rsidR="00421746" w:rsidRPr="003A788F" w:rsidRDefault="00421746" w:rsidP="003A7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746" w:rsidRPr="003A788F" w:rsidRDefault="00421746" w:rsidP="003A788F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21746" w:rsidRPr="003A788F" w:rsidRDefault="00421746" w:rsidP="003A78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21746" w:rsidRPr="003A788F" w:rsidRDefault="00421746" w:rsidP="003A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421746" w:rsidRPr="003A788F" w:rsidSect="0045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3E6"/>
    <w:multiLevelType w:val="hybridMultilevel"/>
    <w:tmpl w:val="A9A0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DE2749"/>
    <w:multiLevelType w:val="hybridMultilevel"/>
    <w:tmpl w:val="B0C6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CF7"/>
    <w:multiLevelType w:val="multilevel"/>
    <w:tmpl w:val="7E6EE0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CC640AA"/>
    <w:multiLevelType w:val="hybridMultilevel"/>
    <w:tmpl w:val="6708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B4CB4"/>
    <w:multiLevelType w:val="hybridMultilevel"/>
    <w:tmpl w:val="968E53B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03BC8"/>
    <w:multiLevelType w:val="hybridMultilevel"/>
    <w:tmpl w:val="BD02A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7C036C"/>
    <w:multiLevelType w:val="hybridMultilevel"/>
    <w:tmpl w:val="6708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91084"/>
    <w:multiLevelType w:val="hybridMultilevel"/>
    <w:tmpl w:val="8A52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451"/>
    <w:rsid w:val="00032E9E"/>
    <w:rsid w:val="00054472"/>
    <w:rsid w:val="000657EC"/>
    <w:rsid w:val="00073CE6"/>
    <w:rsid w:val="000A77B6"/>
    <w:rsid w:val="000E0A48"/>
    <w:rsid w:val="000F6A9C"/>
    <w:rsid w:val="00115910"/>
    <w:rsid w:val="00135EB1"/>
    <w:rsid w:val="00154451"/>
    <w:rsid w:val="001735FF"/>
    <w:rsid w:val="00184433"/>
    <w:rsid w:val="00190151"/>
    <w:rsid w:val="00251602"/>
    <w:rsid w:val="00261E8E"/>
    <w:rsid w:val="00265D41"/>
    <w:rsid w:val="00294F2A"/>
    <w:rsid w:val="002C3B6F"/>
    <w:rsid w:val="002C78EB"/>
    <w:rsid w:val="0032245D"/>
    <w:rsid w:val="003349B9"/>
    <w:rsid w:val="00346CD9"/>
    <w:rsid w:val="00390EFD"/>
    <w:rsid w:val="003A2D52"/>
    <w:rsid w:val="003A788F"/>
    <w:rsid w:val="003B7511"/>
    <w:rsid w:val="003D1363"/>
    <w:rsid w:val="003E6B2E"/>
    <w:rsid w:val="00421746"/>
    <w:rsid w:val="00425A7D"/>
    <w:rsid w:val="004534A2"/>
    <w:rsid w:val="00471210"/>
    <w:rsid w:val="00481586"/>
    <w:rsid w:val="004C5E3A"/>
    <w:rsid w:val="004E1679"/>
    <w:rsid w:val="004E47FE"/>
    <w:rsid w:val="004F6B72"/>
    <w:rsid w:val="00520728"/>
    <w:rsid w:val="005213CE"/>
    <w:rsid w:val="0056763D"/>
    <w:rsid w:val="00573F4C"/>
    <w:rsid w:val="005C3C1A"/>
    <w:rsid w:val="00626D96"/>
    <w:rsid w:val="00666709"/>
    <w:rsid w:val="00695D00"/>
    <w:rsid w:val="006A1B66"/>
    <w:rsid w:val="00741DB9"/>
    <w:rsid w:val="007622C1"/>
    <w:rsid w:val="00816D13"/>
    <w:rsid w:val="009671B7"/>
    <w:rsid w:val="00994F57"/>
    <w:rsid w:val="009C32E2"/>
    <w:rsid w:val="009D3F28"/>
    <w:rsid w:val="00A92259"/>
    <w:rsid w:val="00AA1DF8"/>
    <w:rsid w:val="00AB6D4B"/>
    <w:rsid w:val="00B239B6"/>
    <w:rsid w:val="00B40F66"/>
    <w:rsid w:val="00B65A27"/>
    <w:rsid w:val="00BC0A20"/>
    <w:rsid w:val="00BC2620"/>
    <w:rsid w:val="00BC48DC"/>
    <w:rsid w:val="00BD1BD2"/>
    <w:rsid w:val="00BD41AB"/>
    <w:rsid w:val="00C471F9"/>
    <w:rsid w:val="00C84CEF"/>
    <w:rsid w:val="00CB4801"/>
    <w:rsid w:val="00CE40A3"/>
    <w:rsid w:val="00D31CB2"/>
    <w:rsid w:val="00D43DD7"/>
    <w:rsid w:val="00D47A0C"/>
    <w:rsid w:val="00D578E7"/>
    <w:rsid w:val="00D84E74"/>
    <w:rsid w:val="00D95786"/>
    <w:rsid w:val="00DC4D67"/>
    <w:rsid w:val="00E025F0"/>
    <w:rsid w:val="00E33BA5"/>
    <w:rsid w:val="00E42DAC"/>
    <w:rsid w:val="00E47444"/>
    <w:rsid w:val="00E57599"/>
    <w:rsid w:val="00E736BB"/>
    <w:rsid w:val="00F02C13"/>
    <w:rsid w:val="00F401AA"/>
    <w:rsid w:val="00F77640"/>
    <w:rsid w:val="00F84DC9"/>
    <w:rsid w:val="00F91F94"/>
    <w:rsid w:val="00FA229D"/>
    <w:rsid w:val="00FB44A7"/>
    <w:rsid w:val="00FB6B03"/>
    <w:rsid w:val="00FD02B0"/>
    <w:rsid w:val="00FE1010"/>
    <w:rsid w:val="00FE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E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4744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0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1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1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HMRUO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ПринтерХП</dc:creator>
  <cp:keywords/>
  <dc:description/>
  <cp:lastModifiedBy>user</cp:lastModifiedBy>
  <cp:revision>84</cp:revision>
  <cp:lastPrinted>2016-08-31T09:40:00Z</cp:lastPrinted>
  <dcterms:created xsi:type="dcterms:W3CDTF">2016-03-09T09:44:00Z</dcterms:created>
  <dcterms:modified xsi:type="dcterms:W3CDTF">2016-09-05T03:10:00Z</dcterms:modified>
</cp:coreProperties>
</file>