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7D" w:rsidRDefault="0047346A">
      <w:pPr>
        <w:pStyle w:val="1"/>
        <w:spacing w:before="73"/>
        <w:ind w:left="2175"/>
      </w:pPr>
      <w:r>
        <w:t>ОЦЕНКА ПОТЕНЦИАЛА РЕГИОНОВ РОССИИ</w:t>
      </w:r>
    </w:p>
    <w:p w:rsidR="00F62F7D" w:rsidRDefault="00F62F7D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F62F7D" w:rsidRDefault="0047346A">
      <w:pPr>
        <w:spacing w:before="1" w:line="357" w:lineRule="auto"/>
        <w:ind w:left="1136" w:right="228" w:firstLine="4577"/>
        <w:jc w:val="right"/>
        <w:rPr>
          <w:i/>
          <w:sz w:val="24"/>
        </w:rPr>
      </w:pPr>
      <w:proofErr w:type="spellStart"/>
      <w:r>
        <w:rPr>
          <w:b/>
          <w:sz w:val="24"/>
        </w:rPr>
        <w:t>Красносельцева</w:t>
      </w:r>
      <w:proofErr w:type="spellEnd"/>
      <w:r>
        <w:rPr>
          <w:b/>
          <w:sz w:val="24"/>
        </w:rPr>
        <w:t xml:space="preserve"> Ирина Евгеньевна </w:t>
      </w:r>
      <w:r>
        <w:rPr>
          <w:i/>
          <w:sz w:val="24"/>
        </w:rPr>
        <w:t>студентка 4</w:t>
      </w:r>
      <w:bookmarkStart w:id="0" w:name="_GoBack"/>
      <w:bookmarkEnd w:id="0"/>
      <w:r>
        <w:rPr>
          <w:i/>
          <w:sz w:val="24"/>
        </w:rPr>
        <w:t xml:space="preserve"> курса, институт экономики и управления, Самарский национальный исследовательский университет им. С.П. Королёва, г. Самара</w:t>
      </w:r>
    </w:p>
    <w:p w:rsidR="00F62F7D" w:rsidRDefault="00F62F7D">
      <w:pPr>
        <w:pStyle w:val="a3"/>
        <w:ind w:left="0" w:firstLine="0"/>
        <w:jc w:val="left"/>
        <w:rPr>
          <w:i/>
          <w:sz w:val="26"/>
        </w:rPr>
      </w:pPr>
    </w:p>
    <w:p w:rsidR="00F62F7D" w:rsidRDefault="00F62F7D">
      <w:pPr>
        <w:pStyle w:val="a3"/>
        <w:ind w:left="0" w:firstLine="0"/>
        <w:jc w:val="left"/>
        <w:rPr>
          <w:i/>
          <w:sz w:val="26"/>
        </w:rPr>
      </w:pPr>
    </w:p>
    <w:p w:rsidR="00F62F7D" w:rsidRDefault="00F62F7D">
      <w:pPr>
        <w:pStyle w:val="a3"/>
        <w:spacing w:before="8"/>
        <w:ind w:left="0" w:firstLine="0"/>
        <w:jc w:val="left"/>
        <w:rPr>
          <w:i/>
          <w:sz w:val="37"/>
        </w:rPr>
      </w:pPr>
    </w:p>
    <w:p w:rsidR="00F62F7D" w:rsidRDefault="0047346A">
      <w:pPr>
        <w:pStyle w:val="a3"/>
        <w:spacing w:line="360" w:lineRule="auto"/>
        <w:ind w:right="222"/>
      </w:pPr>
      <w:r>
        <w:t xml:space="preserve">Российская Федерация включает в себя 85 субъектов различных по географическим, социокультурным и экономическим признакам. Комплекс факторов, влияющий на развитие каждого региона, создает разрозненность в экономическом и социокультурном статусе. Вследствие </w:t>
      </w:r>
      <w:r>
        <w:t>этого перед научным сообществом встает проблема эффективной оценки и разработки прогноза, учитывающего особенности субъекта. Цель исследования заключается в оценке SWOT-методики, учитывающей наличие и использование резервов экономического развития на приме</w:t>
      </w:r>
      <w:r>
        <w:t>ре статистических данных Самарской области. Поставленная цель обуславливает следующие задачи: определить показатели региона в четырёх аспектах методики; проанализировать их влияния на развития; разработать пути решения проблем региона. Объектом изучения яв</w:t>
      </w:r>
      <w:r>
        <w:t>ляется регион и его потенциал. В изучении данной проблемы использованы следующие методы исследования: анализ существующих статистических показателей и исследование потенциальных возможностей региона экономико-математическими</w:t>
      </w:r>
      <w:r>
        <w:rPr>
          <w:spacing w:val="-4"/>
        </w:rPr>
        <w:t xml:space="preserve"> </w:t>
      </w:r>
      <w:r>
        <w:t>методами.</w:t>
      </w:r>
    </w:p>
    <w:p w:rsidR="00F62F7D" w:rsidRDefault="0047346A">
      <w:pPr>
        <w:pStyle w:val="a3"/>
        <w:spacing w:line="360" w:lineRule="auto"/>
        <w:ind w:right="223"/>
      </w:pPr>
      <w:r>
        <w:t>В настоящее время эфф</w:t>
      </w:r>
      <w:r>
        <w:t>ективная система прогнозирования региона становится необходимым условием его развития. Основными направлениями развития региональной системы являются экономические и промышленные показатели роста, а также улучшение качества жизни населения. От всестороннег</w:t>
      </w:r>
      <w:r>
        <w:t>о анализа потенциальных возможностей региона зависят последующие качественные изменения. На практике существуют методики, используемые для мониторинга выполнения поручений, содержащихся в Указах Президента Российской Федерации от 07 мая 2012 года № 596-606</w:t>
      </w:r>
      <w:r>
        <w:t>. Данная методология включает показатели, изучающие основные сферы развития, но, с точки зрения специфики потенциалов, не полноценно разрабатывающие стратегию в отношении экономико-географическое положения региона, например, введение в эксплуатацию обанкро</w:t>
      </w:r>
      <w:r>
        <w:t>тившихся производств или развитие нового туристического потенциала. Сложность интерпретации результатов, а также затруднённость в отыскании причинн</w:t>
      </w:r>
      <w:proofErr w:type="gramStart"/>
      <w:r>
        <w:t>о-</w:t>
      </w:r>
      <w:proofErr w:type="gramEnd"/>
      <w:r>
        <w:t xml:space="preserve"> следственных связей между показателями создают проблемы в анализе и прогнозе развития</w:t>
      </w:r>
      <w:r>
        <w:rPr>
          <w:spacing w:val="-1"/>
        </w:rPr>
        <w:t xml:space="preserve"> </w:t>
      </w:r>
      <w:r>
        <w:t>субъекта.</w:t>
      </w:r>
    </w:p>
    <w:p w:rsidR="00F62F7D" w:rsidRDefault="00F62F7D">
      <w:pPr>
        <w:spacing w:line="360" w:lineRule="auto"/>
        <w:sectPr w:rsidR="00F62F7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62F7D" w:rsidRDefault="0047346A">
      <w:pPr>
        <w:pStyle w:val="a3"/>
        <w:spacing w:before="68" w:line="360" w:lineRule="auto"/>
        <w:ind w:right="230"/>
      </w:pPr>
      <w:r>
        <w:lastRenderedPageBreak/>
        <w:t>Анализ основных проблем и тенденций развития региона позволил определить основные показатели SWOT-анализа. Характеристики методики разделяются на четыре категории: сильные стороны, слабые стороны, возможности и угрозы[1].</w:t>
      </w:r>
    </w:p>
    <w:p w:rsidR="00F62F7D" w:rsidRDefault="0047346A">
      <w:pPr>
        <w:pStyle w:val="a3"/>
        <w:spacing w:before="2" w:line="360" w:lineRule="auto"/>
        <w:ind w:right="235"/>
      </w:pPr>
      <w:r>
        <w:t>К сильным сторона</w:t>
      </w:r>
      <w:r>
        <w:t>м относятся преимущества, позволяющие конкурировать региону в долгосрочной перспективе.</w:t>
      </w:r>
    </w:p>
    <w:p w:rsidR="00F62F7D" w:rsidRDefault="0047346A">
      <w:pPr>
        <w:pStyle w:val="a3"/>
        <w:spacing w:line="360" w:lineRule="auto"/>
        <w:ind w:right="227"/>
      </w:pPr>
      <w:r>
        <w:t>Слабые стороны – реальные факторы, которые приводят к затормаживанию экономической и социальной политики в регионе, способствуя экстенсивному развитию.</w:t>
      </w:r>
    </w:p>
    <w:p w:rsidR="00F62F7D" w:rsidRDefault="0047346A">
      <w:pPr>
        <w:pStyle w:val="a3"/>
        <w:spacing w:line="360" w:lineRule="auto"/>
        <w:ind w:right="224"/>
      </w:pPr>
      <w:r>
        <w:t>Возможности расс</w:t>
      </w:r>
      <w:r>
        <w:t>матриваются как потенциальные (не реализуемые в настоящий момент) показатели, реализация которых, возможно, приведет к росту благосостояния региона.</w:t>
      </w:r>
    </w:p>
    <w:p w:rsidR="00F62F7D" w:rsidRDefault="0047346A">
      <w:pPr>
        <w:pStyle w:val="a3"/>
        <w:spacing w:line="360" w:lineRule="auto"/>
        <w:ind w:right="233"/>
      </w:pPr>
      <w:r>
        <w:t>Угрозы – отрицательные факторы, которые могут повлиять на экономику региона, если не предотвратить их появление[2].</w:t>
      </w:r>
    </w:p>
    <w:p w:rsidR="00F62F7D" w:rsidRDefault="00F62F7D">
      <w:pPr>
        <w:spacing w:line="360" w:lineRule="auto"/>
        <w:sectPr w:rsidR="00F62F7D">
          <w:pgSz w:w="11910" w:h="16840"/>
          <w:pgMar w:top="1040" w:right="620" w:bottom="280" w:left="1480" w:header="720" w:footer="720" w:gutter="0"/>
          <w:cols w:space="720"/>
        </w:sectPr>
      </w:pPr>
    </w:p>
    <w:p w:rsidR="00F62F7D" w:rsidRDefault="0047346A">
      <w:pPr>
        <w:spacing w:before="70"/>
        <w:ind w:left="222"/>
        <w:rPr>
          <w:sz w:val="20"/>
        </w:rPr>
      </w:pPr>
      <w:r>
        <w:rPr>
          <w:sz w:val="20"/>
        </w:rPr>
        <w:lastRenderedPageBreak/>
        <w:t>Таблица 1 - SWOT-анализ тенденций Самарской области</w:t>
      </w:r>
    </w:p>
    <w:p w:rsidR="00F62F7D" w:rsidRDefault="00F62F7D">
      <w:pPr>
        <w:pStyle w:val="a3"/>
        <w:spacing w:before="10" w:after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4"/>
      </w:tblGrid>
      <w:tr w:rsidR="00F62F7D">
        <w:trPr>
          <w:trHeight w:val="379"/>
        </w:trPr>
        <w:tc>
          <w:tcPr>
            <w:tcW w:w="4928" w:type="dxa"/>
          </w:tcPr>
          <w:p w:rsidR="00F62F7D" w:rsidRDefault="0047346A">
            <w:pPr>
              <w:pStyle w:val="TableParagraph"/>
              <w:spacing w:line="251" w:lineRule="exact"/>
              <w:ind w:left="998"/>
              <w:jc w:val="left"/>
              <w:rPr>
                <w:b/>
              </w:rPr>
            </w:pPr>
            <w:r>
              <w:rPr>
                <w:b/>
              </w:rPr>
              <w:t>Сильные стороны (</w:t>
            </w:r>
            <w:proofErr w:type="spellStart"/>
            <w:r>
              <w:rPr>
                <w:b/>
              </w:rPr>
              <w:t>Strengths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44" w:type="dxa"/>
          </w:tcPr>
          <w:p w:rsidR="00F62F7D" w:rsidRDefault="0047346A">
            <w:pPr>
              <w:pStyle w:val="TableParagraph"/>
              <w:spacing w:line="251" w:lineRule="exact"/>
              <w:ind w:left="892" w:right="884"/>
              <w:jc w:val="center"/>
              <w:rPr>
                <w:b/>
              </w:rPr>
            </w:pPr>
            <w:r>
              <w:rPr>
                <w:b/>
              </w:rPr>
              <w:t>Слабые стороны (</w:t>
            </w:r>
            <w:proofErr w:type="spellStart"/>
            <w:r>
              <w:rPr>
                <w:b/>
              </w:rPr>
              <w:t>Weakness</w:t>
            </w:r>
            <w:proofErr w:type="spellEnd"/>
            <w:r>
              <w:rPr>
                <w:b/>
              </w:rPr>
              <w:t>)</w:t>
            </w:r>
          </w:p>
        </w:tc>
      </w:tr>
      <w:tr w:rsidR="00F62F7D">
        <w:trPr>
          <w:trHeight w:val="12145"/>
        </w:trPr>
        <w:tc>
          <w:tcPr>
            <w:tcW w:w="4928" w:type="dxa"/>
          </w:tcPr>
          <w:p w:rsidR="00F62F7D" w:rsidRDefault="0047346A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line="360" w:lineRule="auto"/>
              <w:ind w:right="95" w:firstLine="0"/>
              <w:jc w:val="both"/>
            </w:pPr>
            <w:r>
              <w:t>Высокий демографич</w:t>
            </w:r>
            <w:r>
              <w:t xml:space="preserve">еский и трудовой потенциал за счет высокой численности </w:t>
            </w:r>
            <w:proofErr w:type="spellStart"/>
            <w:r>
              <w:t>Самарско</w:t>
            </w:r>
            <w:proofErr w:type="spellEnd"/>
            <w:r>
              <w:t>-Тольяттинской агломерации (третьей по численности в</w:t>
            </w:r>
            <w:r>
              <w:rPr>
                <w:spacing w:val="-3"/>
              </w:rPr>
              <w:t xml:space="preserve"> </w:t>
            </w:r>
            <w:r>
              <w:t>стране)</w:t>
            </w:r>
          </w:p>
          <w:p w:rsidR="00F62F7D" w:rsidRDefault="0047346A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spacing w:line="360" w:lineRule="auto"/>
              <w:ind w:right="94" w:firstLine="0"/>
              <w:jc w:val="both"/>
            </w:pPr>
            <w:r>
              <w:t>Выгодное географическое положение: европейская территория России, Поволжский Федеральный округ, среднее течение р. Волги (крупной экономико-туристической артерией России), развитая транспортная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</w:p>
          <w:p w:rsidR="00F62F7D" w:rsidRDefault="0047346A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2130"/>
                <w:tab w:val="left" w:pos="2454"/>
                <w:tab w:val="left" w:pos="3012"/>
                <w:tab w:val="left" w:pos="3061"/>
                <w:tab w:val="left" w:pos="3169"/>
                <w:tab w:val="left" w:pos="4703"/>
              </w:tabs>
              <w:spacing w:line="360" w:lineRule="auto"/>
              <w:ind w:right="94" w:firstLine="0"/>
              <w:jc w:val="both"/>
            </w:pPr>
            <w:r>
              <w:t>Наиболее развитый регион России. Включает в себя разви</w:t>
            </w:r>
            <w:r>
              <w:t>тый промышленный комплекс (автомобилестроение,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самолетостроение, </w:t>
            </w:r>
            <w:r>
              <w:t>ракетостроение,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электроэнергетика, </w:t>
            </w:r>
            <w:r>
              <w:t>нефтедобывающая и нефтеперерабатывающая промышленность, цветная металлургия, химическая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нефтехимическая </w:t>
            </w:r>
            <w:r>
              <w:t>промышленность,</w:t>
            </w:r>
            <w:r>
              <w:tab/>
            </w:r>
            <w:r>
              <w:tab/>
              <w:t>машиностроение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металлооб</w:t>
            </w:r>
            <w:r>
              <w:t>работка)</w:t>
            </w:r>
          </w:p>
          <w:p w:rsidR="00F62F7D" w:rsidRDefault="0047346A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line="360" w:lineRule="auto"/>
              <w:ind w:right="93" w:firstLine="0"/>
              <w:jc w:val="both"/>
            </w:pPr>
            <w:r>
              <w:t>Диверсифицированный агропромышленный комплекс: мясное овцеводство, плодоовощная продукция, производство молочной и кисломолочной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  <w:p w:rsidR="00F62F7D" w:rsidRDefault="0047346A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line="360" w:lineRule="auto"/>
              <w:ind w:right="98" w:firstLine="0"/>
              <w:jc w:val="both"/>
            </w:pPr>
            <w:r>
              <w:t>Наукоемкий регион: развитая структура научно-исследовательских институтов и университетов федерального</w:t>
            </w:r>
            <w:r>
              <w:rPr>
                <w:spacing w:val="-2"/>
              </w:rPr>
              <w:t xml:space="preserve"> </w:t>
            </w:r>
            <w:r>
              <w:t>уровн</w:t>
            </w:r>
            <w:r>
              <w:t>я</w:t>
            </w:r>
          </w:p>
          <w:p w:rsidR="00F62F7D" w:rsidRDefault="0047346A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360" w:lineRule="auto"/>
              <w:ind w:right="93" w:firstLine="0"/>
              <w:jc w:val="both"/>
            </w:pPr>
            <w:r>
              <w:t>Высокий уровень платежеспособного спроса, привлекающий крупных отечественных и зарубежных</w:t>
            </w:r>
            <w:r>
              <w:rPr>
                <w:spacing w:val="-1"/>
              </w:rPr>
              <w:t xml:space="preserve"> </w:t>
            </w:r>
            <w:r>
              <w:t>инвесторов</w:t>
            </w:r>
          </w:p>
          <w:p w:rsidR="00F62F7D" w:rsidRDefault="0047346A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line="360" w:lineRule="auto"/>
              <w:ind w:right="92" w:firstLine="0"/>
              <w:jc w:val="both"/>
            </w:pPr>
            <w:proofErr w:type="gramStart"/>
            <w:r>
              <w:t>Наличие богатой природно-сырьевой базы (водные ресурсы, лесной фонд, нефтегазовые месторождения, горно-техническое сырье,</w:t>
            </w:r>
            <w:r>
              <w:rPr>
                <w:spacing w:val="35"/>
              </w:rPr>
              <w:t xml:space="preserve"> </w:t>
            </w:r>
            <w:r>
              <w:t>горно-</w:t>
            </w:r>
            <w:proofErr w:type="gramEnd"/>
          </w:p>
          <w:p w:rsidR="00F62F7D" w:rsidRDefault="0047346A">
            <w:pPr>
              <w:pStyle w:val="TableParagraph"/>
            </w:pPr>
            <w:r>
              <w:t>химическое сырье и др.)</w:t>
            </w:r>
          </w:p>
        </w:tc>
        <w:tc>
          <w:tcPr>
            <w:tcW w:w="4644" w:type="dxa"/>
          </w:tcPr>
          <w:p w:rsidR="00F62F7D" w:rsidRDefault="0047346A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  <w:tab w:val="left" w:pos="2348"/>
                <w:tab w:val="left" w:pos="3702"/>
              </w:tabs>
              <w:spacing w:line="360" w:lineRule="auto"/>
              <w:ind w:right="98" w:firstLine="0"/>
              <w:jc w:val="both"/>
            </w:pPr>
            <w:r>
              <w:t>Недостаточный</w:t>
            </w:r>
            <w:r>
              <w:tab/>
              <w:t>уровень</w:t>
            </w:r>
            <w:r>
              <w:tab/>
            </w:r>
            <w:r>
              <w:rPr>
                <w:spacing w:val="-3"/>
              </w:rPr>
              <w:t xml:space="preserve">развития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инфраструктуры</w:t>
            </w:r>
          </w:p>
          <w:p w:rsidR="00F62F7D" w:rsidRDefault="0047346A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360" w:lineRule="auto"/>
              <w:ind w:right="94" w:firstLine="0"/>
              <w:jc w:val="both"/>
            </w:pPr>
            <w:r>
              <w:t>Плачевная ситуация с экологическими проблемами за счет невыполнение экологических регламентов производств и иных</w:t>
            </w:r>
            <w:r>
              <w:rPr>
                <w:spacing w:val="-1"/>
              </w:rPr>
              <w:t xml:space="preserve"> </w:t>
            </w:r>
            <w:r>
              <w:t>структур</w:t>
            </w:r>
          </w:p>
          <w:p w:rsidR="00F62F7D" w:rsidRDefault="0047346A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360" w:lineRule="auto"/>
              <w:ind w:right="95" w:firstLine="0"/>
              <w:jc w:val="both"/>
            </w:pPr>
            <w:r>
              <w:t>Слабая инновационная активность региона (преобладание во многих секторах экон</w:t>
            </w:r>
            <w:r>
              <w:t>омики экстенсивного</w:t>
            </w:r>
            <w:r>
              <w:rPr>
                <w:spacing w:val="-1"/>
              </w:rPr>
              <w:t xml:space="preserve"> </w:t>
            </w:r>
            <w:r>
              <w:t>производства)</w:t>
            </w:r>
          </w:p>
          <w:p w:rsidR="00F62F7D" w:rsidRDefault="0047346A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360" w:lineRule="auto"/>
              <w:ind w:right="93" w:firstLine="0"/>
              <w:jc w:val="both"/>
            </w:pPr>
            <w:r>
              <w:t>Низкая производительность труда за счёт недостаточного повышения навыков работников и низкой оплаты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  <w:p w:rsidR="00F62F7D" w:rsidRDefault="0047346A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spacing w:line="362" w:lineRule="auto"/>
              <w:ind w:right="99" w:firstLine="0"/>
              <w:jc w:val="both"/>
            </w:pPr>
            <w:r>
              <w:t>Низкая инвестиционная активность в основных кластерах экономики</w:t>
            </w:r>
            <w:r>
              <w:rPr>
                <w:spacing w:val="-1"/>
              </w:rPr>
              <w:t xml:space="preserve"> </w:t>
            </w:r>
            <w:r>
              <w:t>региона</w:t>
            </w:r>
          </w:p>
          <w:p w:rsidR="00F62F7D" w:rsidRDefault="0047346A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</w:tabs>
              <w:spacing w:line="360" w:lineRule="auto"/>
              <w:ind w:right="93" w:firstLine="0"/>
              <w:jc w:val="both"/>
            </w:pPr>
            <w:r>
              <w:t>Критически высокий уровень заболеваемости ВИЧ-инфекцией, наркоманией и алкоголизмом</w:t>
            </w:r>
          </w:p>
          <w:p w:rsidR="00F62F7D" w:rsidRDefault="0047346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60" w:lineRule="auto"/>
              <w:ind w:right="96" w:firstLine="0"/>
              <w:jc w:val="both"/>
            </w:pPr>
            <w:r>
              <w:t>Высокий уровень безработицы в регионе (первое место в</w:t>
            </w:r>
            <w:r>
              <w:rPr>
                <w:spacing w:val="-2"/>
              </w:rPr>
              <w:t xml:space="preserve"> </w:t>
            </w:r>
            <w:r>
              <w:t>ПФО)</w:t>
            </w:r>
          </w:p>
        </w:tc>
      </w:tr>
      <w:tr w:rsidR="00F62F7D">
        <w:trPr>
          <w:trHeight w:val="378"/>
        </w:trPr>
        <w:tc>
          <w:tcPr>
            <w:tcW w:w="4928" w:type="dxa"/>
          </w:tcPr>
          <w:p w:rsidR="00F62F7D" w:rsidRDefault="0047346A">
            <w:pPr>
              <w:pStyle w:val="TableParagraph"/>
              <w:spacing w:line="251" w:lineRule="exact"/>
              <w:ind w:left="1034"/>
              <w:jc w:val="left"/>
              <w:rPr>
                <w:b/>
              </w:rPr>
            </w:pPr>
            <w:r>
              <w:rPr>
                <w:b/>
              </w:rPr>
              <w:t>Возможности (</w:t>
            </w:r>
            <w:proofErr w:type="spellStart"/>
            <w:r>
              <w:rPr>
                <w:b/>
              </w:rPr>
              <w:t>Opportunities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44" w:type="dxa"/>
          </w:tcPr>
          <w:p w:rsidR="00F62F7D" w:rsidRDefault="0047346A">
            <w:pPr>
              <w:pStyle w:val="TableParagraph"/>
              <w:spacing w:line="251" w:lineRule="exact"/>
              <w:ind w:left="891" w:right="884"/>
              <w:jc w:val="center"/>
              <w:rPr>
                <w:b/>
              </w:rPr>
            </w:pPr>
            <w:r>
              <w:rPr>
                <w:b/>
              </w:rPr>
              <w:t>Угрозы (</w:t>
            </w:r>
            <w:proofErr w:type="spellStart"/>
            <w:r>
              <w:rPr>
                <w:b/>
              </w:rPr>
              <w:t>Threats</w:t>
            </w:r>
            <w:proofErr w:type="spellEnd"/>
            <w:r>
              <w:rPr>
                <w:b/>
              </w:rPr>
              <w:t>)</w:t>
            </w:r>
          </w:p>
        </w:tc>
      </w:tr>
      <w:tr w:rsidR="00F62F7D">
        <w:trPr>
          <w:trHeight w:val="1139"/>
        </w:trPr>
        <w:tc>
          <w:tcPr>
            <w:tcW w:w="4928" w:type="dxa"/>
          </w:tcPr>
          <w:p w:rsidR="00F62F7D" w:rsidRDefault="0047346A">
            <w:pPr>
              <w:pStyle w:val="TableParagraph"/>
              <w:tabs>
                <w:tab w:val="left" w:pos="525"/>
                <w:tab w:val="left" w:pos="1374"/>
                <w:tab w:val="left" w:pos="1787"/>
                <w:tab w:val="left" w:pos="1897"/>
                <w:tab w:val="left" w:pos="2890"/>
                <w:tab w:val="left" w:pos="2955"/>
                <w:tab w:val="left" w:pos="3325"/>
                <w:tab w:val="left" w:pos="4167"/>
                <w:tab w:val="left" w:pos="4227"/>
              </w:tabs>
              <w:spacing w:line="360" w:lineRule="auto"/>
              <w:ind w:right="94"/>
              <w:jc w:val="left"/>
            </w:pPr>
            <w:r>
              <w:t>1.</w:t>
            </w:r>
            <w:r>
              <w:tab/>
              <w:t>Повышение</w:t>
            </w:r>
            <w:r>
              <w:tab/>
            </w:r>
            <w:r>
              <w:tab/>
              <w:t>качества</w:t>
            </w:r>
            <w:r>
              <w:tab/>
            </w:r>
            <w:r>
              <w:tab/>
              <w:t>и</w:t>
            </w:r>
            <w:r>
              <w:tab/>
              <w:t>уровня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жизни </w:t>
            </w:r>
            <w:r>
              <w:t>населения</w:t>
            </w:r>
            <w:r>
              <w:tab/>
              <w:t>в</w:t>
            </w:r>
            <w:r>
              <w:tab/>
              <w:t>регионе.</w:t>
            </w:r>
            <w:r>
              <w:tab/>
            </w:r>
            <w:r>
              <w:t>Снижение</w:t>
            </w:r>
            <w:r>
              <w:tab/>
            </w:r>
            <w:r>
              <w:rPr>
                <w:spacing w:val="-4"/>
              </w:rPr>
              <w:t>уровня</w:t>
            </w:r>
          </w:p>
          <w:p w:rsidR="00F62F7D" w:rsidRDefault="0047346A">
            <w:pPr>
              <w:pStyle w:val="TableParagraph"/>
              <w:tabs>
                <w:tab w:val="left" w:pos="1808"/>
                <w:tab w:val="left" w:pos="2487"/>
                <w:tab w:val="left" w:pos="3385"/>
              </w:tabs>
              <w:spacing w:line="252" w:lineRule="exact"/>
              <w:jc w:val="left"/>
            </w:pPr>
            <w:r>
              <w:t>безработицы</w:t>
            </w:r>
            <w:r>
              <w:tab/>
              <w:t>за</w:t>
            </w:r>
            <w:r>
              <w:tab/>
              <w:t>счет</w:t>
            </w:r>
            <w:r>
              <w:tab/>
            </w:r>
            <w:proofErr w:type="gramStart"/>
            <w:r>
              <w:t>максимального</w:t>
            </w:r>
            <w:proofErr w:type="gramEnd"/>
          </w:p>
        </w:tc>
        <w:tc>
          <w:tcPr>
            <w:tcW w:w="4644" w:type="dxa"/>
          </w:tcPr>
          <w:p w:rsidR="00F62F7D" w:rsidRDefault="0047346A">
            <w:pPr>
              <w:pStyle w:val="TableParagraph"/>
              <w:tabs>
                <w:tab w:val="left" w:pos="609"/>
                <w:tab w:val="left" w:pos="1791"/>
                <w:tab w:val="left" w:pos="2874"/>
                <w:tab w:val="left" w:pos="4417"/>
              </w:tabs>
              <w:spacing w:line="360" w:lineRule="auto"/>
              <w:ind w:right="95"/>
              <w:jc w:val="left"/>
            </w:pPr>
            <w:r>
              <w:t>1.</w:t>
            </w:r>
            <w:r>
              <w:tab/>
              <w:t>Высокий</w:t>
            </w:r>
            <w:r>
              <w:tab/>
              <w:t>уровень</w:t>
            </w:r>
            <w:r>
              <w:tab/>
              <w:t>безработицы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формирование нездоровой молодежи.</w:t>
            </w:r>
            <w:r>
              <w:rPr>
                <w:spacing w:val="-2"/>
              </w:rPr>
              <w:t xml:space="preserve"> </w:t>
            </w:r>
            <w:r>
              <w:t>Падение</w:t>
            </w:r>
          </w:p>
          <w:p w:rsidR="00F62F7D" w:rsidRDefault="0047346A">
            <w:pPr>
              <w:pStyle w:val="TableParagraph"/>
              <w:spacing w:line="252" w:lineRule="exact"/>
              <w:jc w:val="left"/>
            </w:pPr>
            <w:proofErr w:type="spellStart"/>
            <w:r>
              <w:t>наукоёмкости</w:t>
            </w:r>
            <w:proofErr w:type="spellEnd"/>
            <w:r>
              <w:t xml:space="preserve"> и уровня жизни региона</w:t>
            </w:r>
          </w:p>
        </w:tc>
      </w:tr>
    </w:tbl>
    <w:p w:rsidR="00F62F7D" w:rsidRDefault="00F62F7D">
      <w:pPr>
        <w:spacing w:line="252" w:lineRule="exact"/>
        <w:sectPr w:rsidR="00F62F7D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4"/>
      </w:tblGrid>
      <w:tr w:rsidR="00F62F7D">
        <w:trPr>
          <w:trHeight w:val="5695"/>
        </w:trPr>
        <w:tc>
          <w:tcPr>
            <w:tcW w:w="4928" w:type="dxa"/>
          </w:tcPr>
          <w:p w:rsidR="00F62F7D" w:rsidRDefault="0047346A">
            <w:pPr>
              <w:pStyle w:val="TableParagraph"/>
              <w:spacing w:line="243" w:lineRule="exact"/>
              <w:jc w:val="left"/>
            </w:pPr>
            <w:r>
              <w:lastRenderedPageBreak/>
              <w:t>использования трудовых ресурсов</w:t>
            </w:r>
          </w:p>
          <w:p w:rsidR="00F62F7D" w:rsidRDefault="0047346A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26" w:line="360" w:lineRule="auto"/>
              <w:ind w:right="95" w:firstLine="0"/>
              <w:jc w:val="both"/>
            </w:pPr>
            <w:r>
              <w:t>Развитие малого и среднего бизнеса в промышленном и производственном</w:t>
            </w:r>
            <w:r>
              <w:rPr>
                <w:spacing w:val="-5"/>
              </w:rPr>
              <w:t xml:space="preserve"> </w:t>
            </w:r>
            <w:r>
              <w:t>секторах</w:t>
            </w:r>
          </w:p>
          <w:p w:rsidR="00F62F7D" w:rsidRDefault="0047346A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360" w:lineRule="auto"/>
              <w:ind w:right="93" w:firstLine="0"/>
              <w:jc w:val="both"/>
            </w:pPr>
            <w:r>
              <w:t>Развитие туризма за счёт выгодного речного местоположения и обладания крупными экологическими заповедниками</w:t>
            </w:r>
            <w:r>
              <w:rPr>
                <w:spacing w:val="-3"/>
              </w:rPr>
              <w:t xml:space="preserve"> </w:t>
            </w:r>
            <w:r>
              <w:t>Поволжья</w:t>
            </w:r>
          </w:p>
          <w:p w:rsidR="00F62F7D" w:rsidRDefault="0047346A">
            <w:pPr>
              <w:pStyle w:val="TableParagraph"/>
              <w:numPr>
                <w:ilvl w:val="0"/>
                <w:numId w:val="3"/>
              </w:numPr>
              <w:tabs>
                <w:tab w:val="left" w:pos="663"/>
              </w:tabs>
              <w:spacing w:line="360" w:lineRule="auto"/>
              <w:ind w:right="97" w:firstLine="0"/>
              <w:jc w:val="both"/>
            </w:pPr>
            <w:r>
              <w:t xml:space="preserve">Информатизация и </w:t>
            </w:r>
            <w:proofErr w:type="spellStart"/>
            <w:r>
              <w:t>инновационность</w:t>
            </w:r>
            <w:proofErr w:type="spellEnd"/>
            <w:r>
              <w:t xml:space="preserve"> различных секторов</w:t>
            </w:r>
            <w:r>
              <w:rPr>
                <w:spacing w:val="-3"/>
              </w:rPr>
              <w:t xml:space="preserve"> </w:t>
            </w:r>
            <w:r>
              <w:t>экономики</w:t>
            </w:r>
          </w:p>
          <w:p w:rsidR="00F62F7D" w:rsidRDefault="0047346A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" w:line="360" w:lineRule="auto"/>
              <w:ind w:right="96" w:firstLine="0"/>
              <w:jc w:val="both"/>
            </w:pPr>
            <w:r>
              <w:t>Социальная поддержка население и развитие инфраструктуры не только в крупных городах, но и 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  <w:p w:rsidR="00F62F7D" w:rsidRDefault="0047346A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  <w:tab w:val="left" w:pos="3327"/>
              </w:tabs>
              <w:spacing w:line="360" w:lineRule="auto"/>
              <w:ind w:right="95" w:firstLine="0"/>
              <w:jc w:val="both"/>
            </w:pPr>
            <w:r>
              <w:t>Формирование</w:t>
            </w:r>
            <w:r>
              <w:tab/>
            </w:r>
            <w:r>
              <w:rPr>
                <w:spacing w:val="-1"/>
              </w:rPr>
              <w:t xml:space="preserve">благоприятного </w:t>
            </w:r>
            <w:r>
              <w:t>инвестиционного климата для</w:t>
            </w:r>
            <w:r>
              <w:rPr>
                <w:spacing w:val="-3"/>
              </w:rPr>
              <w:t xml:space="preserve"> </w:t>
            </w:r>
            <w:r>
              <w:t>инвесторов</w:t>
            </w:r>
          </w:p>
          <w:p w:rsidR="00F62F7D" w:rsidRDefault="0047346A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ind w:left="328" w:hanging="221"/>
              <w:jc w:val="both"/>
            </w:pPr>
            <w:r>
              <w:t>Развитие транспортно-логистического</w:t>
            </w:r>
            <w:r>
              <w:rPr>
                <w:spacing w:val="-8"/>
              </w:rPr>
              <w:t xml:space="preserve"> </w:t>
            </w:r>
            <w:r>
              <w:t>кластера</w:t>
            </w:r>
          </w:p>
        </w:tc>
        <w:tc>
          <w:tcPr>
            <w:tcW w:w="4644" w:type="dxa"/>
          </w:tcPr>
          <w:p w:rsidR="00F62F7D" w:rsidRDefault="0047346A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969"/>
                <w:tab w:val="left" w:pos="2468"/>
              </w:tabs>
              <w:spacing w:line="360" w:lineRule="auto"/>
              <w:ind w:right="94" w:firstLine="0"/>
              <w:jc w:val="both"/>
            </w:pPr>
            <w:r>
              <w:t>Сокращение производственных «гигантов» в</w:t>
            </w:r>
            <w:r>
              <w:tab/>
            </w:r>
            <w:r>
              <w:t>регионе</w:t>
            </w:r>
            <w:r>
              <w:tab/>
            </w:r>
            <w:r>
              <w:rPr>
                <w:spacing w:val="-1"/>
              </w:rPr>
              <w:t xml:space="preserve">(автомобилестроение, </w:t>
            </w:r>
            <w:r>
              <w:t>самолетостроение и</w:t>
            </w:r>
            <w:r>
              <w:rPr>
                <w:spacing w:val="-1"/>
              </w:rPr>
              <w:t xml:space="preserve"> </w:t>
            </w:r>
            <w:r>
              <w:t>ракетостроение)</w:t>
            </w:r>
          </w:p>
          <w:p w:rsidR="00F62F7D" w:rsidRDefault="0047346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360" w:lineRule="auto"/>
              <w:ind w:right="94" w:firstLine="0"/>
              <w:jc w:val="both"/>
            </w:pPr>
            <w:r>
              <w:t>Недостаточность средств местного и федерального бюджета на реализацию необходимых социальных и экономических программ</w:t>
            </w:r>
          </w:p>
          <w:p w:rsidR="00F62F7D" w:rsidRDefault="0047346A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362" w:lineRule="auto"/>
              <w:ind w:right="96" w:firstLine="0"/>
              <w:jc w:val="both"/>
            </w:pPr>
            <w:r>
              <w:t xml:space="preserve">Утрата конкурентоспособности в </w:t>
            </w:r>
            <w:r>
              <w:rPr>
                <w:spacing w:val="-3"/>
              </w:rPr>
              <w:t xml:space="preserve">различных </w:t>
            </w:r>
            <w:r>
              <w:t>отраслях с другими регионами ПФО и</w:t>
            </w:r>
            <w:r>
              <w:rPr>
                <w:spacing w:val="-6"/>
              </w:rPr>
              <w:t xml:space="preserve"> </w:t>
            </w:r>
            <w:r>
              <w:t>др.</w:t>
            </w:r>
          </w:p>
          <w:p w:rsidR="00F62F7D" w:rsidRDefault="0047346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360" w:lineRule="auto"/>
              <w:ind w:right="95" w:firstLine="0"/>
              <w:jc w:val="both"/>
            </w:pPr>
            <w:r>
              <w:t>Отток квалифицированной рабочей силы, наукоемких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</w:p>
          <w:p w:rsidR="00F62F7D" w:rsidRDefault="0047346A">
            <w:pPr>
              <w:pStyle w:val="TableParagraph"/>
              <w:numPr>
                <w:ilvl w:val="0"/>
                <w:numId w:val="2"/>
              </w:numPr>
              <w:tabs>
                <w:tab w:val="left" w:pos="639"/>
              </w:tabs>
              <w:spacing w:line="360" w:lineRule="auto"/>
              <w:ind w:right="92" w:firstLine="0"/>
              <w:jc w:val="both"/>
            </w:pPr>
            <w:r>
              <w:t>Снижение численности населения, повышение коэффициентов смертности над рождаемостью</w:t>
            </w:r>
          </w:p>
          <w:p w:rsidR="00F62F7D" w:rsidRDefault="0047346A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8" w:hanging="221"/>
              <w:jc w:val="both"/>
            </w:pPr>
            <w:r>
              <w:t>Кризисные и застоные явления в</w:t>
            </w:r>
            <w:r>
              <w:rPr>
                <w:spacing w:val="-10"/>
              </w:rPr>
              <w:t xml:space="preserve"> </w:t>
            </w:r>
            <w:r>
              <w:t>экономике</w:t>
            </w:r>
          </w:p>
        </w:tc>
      </w:tr>
    </w:tbl>
    <w:p w:rsidR="00F62F7D" w:rsidRDefault="00F62F7D">
      <w:pPr>
        <w:pStyle w:val="a3"/>
        <w:spacing w:before="1"/>
        <w:ind w:left="0" w:firstLine="0"/>
        <w:jc w:val="left"/>
        <w:rPr>
          <w:sz w:val="27"/>
        </w:rPr>
      </w:pPr>
    </w:p>
    <w:p w:rsidR="00F62F7D" w:rsidRDefault="0047346A">
      <w:pPr>
        <w:pStyle w:val="a3"/>
        <w:spacing w:before="90" w:line="360" w:lineRule="auto"/>
        <w:ind w:right="222"/>
      </w:pPr>
      <w:r>
        <w:t>Таким образом, на основе результатов SWOT-методики можно представить следующий вывод: Самарская область наделена высоким ресурсным потенциалом,  а также имеет возможности развития во многих отраслях производства. Однако на данный момент, имеющийся стратеги</w:t>
      </w:r>
      <w:r>
        <w:t>ческий потенциал реализуется не полностью или не эффективно. Поэтому первостепенной задачей перед регионом стоит максимальное использование всех возможностей и</w:t>
      </w:r>
      <w:r>
        <w:rPr>
          <w:spacing w:val="1"/>
        </w:rPr>
        <w:t xml:space="preserve"> </w:t>
      </w:r>
      <w:r>
        <w:t>преимуществ.</w:t>
      </w:r>
    </w:p>
    <w:p w:rsidR="00F62F7D" w:rsidRDefault="0047346A">
      <w:pPr>
        <w:pStyle w:val="a3"/>
        <w:spacing w:line="360" w:lineRule="auto"/>
        <w:ind w:right="224"/>
      </w:pPr>
      <w:proofErr w:type="gramStart"/>
      <w:r>
        <w:t>Что касается социально-общественного механизма, региону необходима стабильность, дл</w:t>
      </w:r>
      <w:r>
        <w:t>я которой характерны: территория комфортного проживания с благоприятной экологической обстановкой, достойная оплата труда, развитая инфраструктура досугового развития, высокий уровень социального обслуживания, конкурентоспособная система высшего и среднего</w:t>
      </w:r>
      <w:r>
        <w:t xml:space="preserve"> образования.</w:t>
      </w:r>
      <w:proofErr w:type="gramEnd"/>
    </w:p>
    <w:p w:rsidR="00F62F7D" w:rsidRDefault="0047346A">
      <w:pPr>
        <w:pStyle w:val="a3"/>
        <w:spacing w:line="360" w:lineRule="auto"/>
        <w:ind w:right="230"/>
      </w:pPr>
      <w:r>
        <w:t>В вопросе создания благоприятного климата развития малого и среднего бизнеса, властям нужно заострить внимание на создание производственной инфраструктурой, способствовать благоприятному инвестиционному климату, привлекать наукоемкие кадры.</w:t>
      </w:r>
    </w:p>
    <w:p w:rsidR="00F62F7D" w:rsidRDefault="0047346A">
      <w:pPr>
        <w:pStyle w:val="a3"/>
        <w:spacing w:line="360" w:lineRule="auto"/>
        <w:ind w:right="226"/>
      </w:pPr>
      <w:r>
        <w:t>П</w:t>
      </w:r>
      <w:r>
        <w:t>озиционируя себя как конкурентоспособную область, региону необходимо участвовать в развитии науки, образовательных и инновационных программ, совершенствовать передовые сферы производства и бизнеса.</w:t>
      </w:r>
    </w:p>
    <w:p w:rsidR="00F62F7D" w:rsidRDefault="0047346A">
      <w:pPr>
        <w:pStyle w:val="a3"/>
        <w:spacing w:before="1" w:line="360" w:lineRule="auto"/>
        <w:ind w:right="222"/>
      </w:pPr>
      <w:r>
        <w:t>При разработке глобальной можно учесть, что область играет</w:t>
      </w:r>
      <w:r>
        <w:t xml:space="preserve"> важную роль центра космических исследований и инжиниринга, образовательного центра в области</w:t>
      </w:r>
    </w:p>
    <w:p w:rsidR="00F62F7D" w:rsidRDefault="00F62F7D">
      <w:pPr>
        <w:spacing w:line="360" w:lineRule="auto"/>
        <w:sectPr w:rsidR="00F62F7D">
          <w:pgSz w:w="11910" w:h="16840"/>
          <w:pgMar w:top="1120" w:right="620" w:bottom="280" w:left="1480" w:header="720" w:footer="720" w:gutter="0"/>
          <w:cols w:space="720"/>
        </w:sectPr>
      </w:pPr>
    </w:p>
    <w:p w:rsidR="00F62F7D" w:rsidRDefault="0047346A">
      <w:pPr>
        <w:pStyle w:val="a3"/>
        <w:spacing w:before="68" w:line="360" w:lineRule="auto"/>
        <w:ind w:firstLine="0"/>
        <w:jc w:val="left"/>
      </w:pPr>
      <w:r>
        <w:lastRenderedPageBreak/>
        <w:t>технических наук, ключевого транспортного узла, соединяющего Европу с Азией и уникального центра рекреации и туризма[3].</w:t>
      </w:r>
    </w:p>
    <w:p w:rsidR="00F62F7D" w:rsidRDefault="0047346A">
      <w:pPr>
        <w:pStyle w:val="1"/>
      </w:pPr>
      <w:r>
        <w:t>Список литературы:</w:t>
      </w:r>
    </w:p>
    <w:p w:rsidR="00F62F7D" w:rsidRDefault="00F62F7D">
      <w:pPr>
        <w:pStyle w:val="a3"/>
        <w:ind w:left="0" w:firstLine="0"/>
        <w:jc w:val="left"/>
        <w:rPr>
          <w:b/>
          <w:sz w:val="29"/>
        </w:rPr>
      </w:pPr>
    </w:p>
    <w:p w:rsidR="00F62F7D" w:rsidRDefault="0047346A">
      <w:pPr>
        <w:pStyle w:val="a4"/>
        <w:numPr>
          <w:ilvl w:val="0"/>
          <w:numId w:val="1"/>
        </w:numPr>
        <w:tabs>
          <w:tab w:val="left" w:pos="1017"/>
        </w:tabs>
        <w:spacing w:line="360" w:lineRule="auto"/>
        <w:ind w:right="230"/>
        <w:jc w:val="both"/>
        <w:rPr>
          <w:sz w:val="24"/>
        </w:rPr>
      </w:pPr>
      <w:proofErr w:type="spellStart"/>
      <w:proofErr w:type="gramStart"/>
      <w:r>
        <w:rPr>
          <w:sz w:val="24"/>
        </w:rPr>
        <w:t>Зайнулл</w:t>
      </w:r>
      <w:r>
        <w:rPr>
          <w:sz w:val="24"/>
        </w:rPr>
        <w:t>ина</w:t>
      </w:r>
      <w:proofErr w:type="spellEnd"/>
      <w:r>
        <w:rPr>
          <w:sz w:val="24"/>
        </w:rPr>
        <w:t xml:space="preserve"> М.Р. Сущность и роль горизонтальной интеграции в рыночной экономики // Вестник ТИСБИ. 2005. № 4.</w:t>
      </w:r>
      <w:proofErr w:type="gramEnd"/>
      <w:r>
        <w:rPr>
          <w:sz w:val="24"/>
        </w:rPr>
        <w:t xml:space="preserve"> С.</w:t>
      </w:r>
      <w:r>
        <w:rPr>
          <w:spacing w:val="-3"/>
          <w:sz w:val="24"/>
        </w:rPr>
        <w:t xml:space="preserve"> </w:t>
      </w:r>
      <w:r>
        <w:rPr>
          <w:sz w:val="24"/>
        </w:rPr>
        <w:t>25-27.</w:t>
      </w:r>
    </w:p>
    <w:p w:rsidR="00F62F7D" w:rsidRDefault="0047346A">
      <w:pPr>
        <w:pStyle w:val="a4"/>
        <w:numPr>
          <w:ilvl w:val="0"/>
          <w:numId w:val="1"/>
        </w:numPr>
        <w:tabs>
          <w:tab w:val="left" w:pos="1017"/>
        </w:tabs>
        <w:spacing w:line="360" w:lineRule="auto"/>
        <w:ind w:right="233"/>
        <w:jc w:val="both"/>
        <w:rPr>
          <w:sz w:val="24"/>
        </w:rPr>
      </w:pPr>
      <w:proofErr w:type="spellStart"/>
      <w:r>
        <w:rPr>
          <w:sz w:val="24"/>
        </w:rPr>
        <w:t>Кутаев</w:t>
      </w:r>
      <w:proofErr w:type="spellEnd"/>
      <w:r>
        <w:rPr>
          <w:sz w:val="24"/>
        </w:rPr>
        <w:t xml:space="preserve"> Ш.К., Гордеев О.И. Модернизация экономики региона на современном этапе развития: направленность и условия реализация // Региональная эконо</w:t>
      </w:r>
      <w:r>
        <w:rPr>
          <w:sz w:val="24"/>
        </w:rPr>
        <w:t>мика: теория и практика. – 2011. – № 41 (224). – С.</w:t>
      </w:r>
      <w:r>
        <w:rPr>
          <w:spacing w:val="-2"/>
          <w:sz w:val="24"/>
        </w:rPr>
        <w:t xml:space="preserve"> </w:t>
      </w:r>
      <w:r>
        <w:rPr>
          <w:sz w:val="24"/>
        </w:rPr>
        <w:t>7-13.</w:t>
      </w:r>
    </w:p>
    <w:p w:rsidR="00F62F7D" w:rsidRDefault="0047346A">
      <w:pPr>
        <w:pStyle w:val="a4"/>
        <w:numPr>
          <w:ilvl w:val="0"/>
          <w:numId w:val="1"/>
        </w:numPr>
        <w:tabs>
          <w:tab w:val="left" w:pos="1017"/>
        </w:tabs>
        <w:spacing w:before="1" w:line="360" w:lineRule="auto"/>
        <w:jc w:val="both"/>
        <w:rPr>
          <w:sz w:val="24"/>
        </w:rPr>
      </w:pPr>
      <w:r>
        <w:rPr>
          <w:sz w:val="24"/>
        </w:rPr>
        <w:t xml:space="preserve">Постановление 09 октября 2006 года № 129 </w:t>
      </w:r>
      <w:r>
        <w:rPr>
          <w:spacing w:val="-4"/>
          <w:sz w:val="24"/>
        </w:rPr>
        <w:t xml:space="preserve">«О </w:t>
      </w:r>
      <w:r>
        <w:rPr>
          <w:sz w:val="24"/>
        </w:rPr>
        <w:t>стратегии социально- экономического развития Самарской области на период до 2020</w:t>
      </w:r>
      <w:r>
        <w:rPr>
          <w:spacing w:val="-7"/>
          <w:sz w:val="24"/>
        </w:rPr>
        <w:t xml:space="preserve"> </w:t>
      </w:r>
      <w:r>
        <w:rPr>
          <w:sz w:val="24"/>
        </w:rPr>
        <w:t>года»</w:t>
      </w:r>
    </w:p>
    <w:sectPr w:rsidR="00F62F7D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F1B"/>
    <w:multiLevelType w:val="hybridMultilevel"/>
    <w:tmpl w:val="ECDAE60E"/>
    <w:lvl w:ilvl="0" w:tplc="42C4E644">
      <w:start w:val="1"/>
      <w:numFmt w:val="decimal"/>
      <w:lvlText w:val="%1."/>
      <w:lvlJc w:val="left"/>
      <w:pPr>
        <w:ind w:left="10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449A0E">
      <w:numFmt w:val="bullet"/>
      <w:lvlText w:val="•"/>
      <w:lvlJc w:val="left"/>
      <w:pPr>
        <w:ind w:left="581" w:hanging="428"/>
      </w:pPr>
      <w:rPr>
        <w:rFonts w:hint="default"/>
        <w:lang w:val="ru-RU" w:eastAsia="ru-RU" w:bidi="ru-RU"/>
      </w:rPr>
    </w:lvl>
    <w:lvl w:ilvl="2" w:tplc="A6A6D218">
      <w:numFmt w:val="bullet"/>
      <w:lvlText w:val="•"/>
      <w:lvlJc w:val="left"/>
      <w:pPr>
        <w:ind w:left="1063" w:hanging="428"/>
      </w:pPr>
      <w:rPr>
        <w:rFonts w:hint="default"/>
        <w:lang w:val="ru-RU" w:eastAsia="ru-RU" w:bidi="ru-RU"/>
      </w:rPr>
    </w:lvl>
    <w:lvl w:ilvl="3" w:tplc="A08A4454">
      <w:numFmt w:val="bullet"/>
      <w:lvlText w:val="•"/>
      <w:lvlJc w:val="left"/>
      <w:pPr>
        <w:ind w:left="1545" w:hanging="428"/>
      </w:pPr>
      <w:rPr>
        <w:rFonts w:hint="default"/>
        <w:lang w:val="ru-RU" w:eastAsia="ru-RU" w:bidi="ru-RU"/>
      </w:rPr>
    </w:lvl>
    <w:lvl w:ilvl="4" w:tplc="D192888E">
      <w:numFmt w:val="bullet"/>
      <w:lvlText w:val="•"/>
      <w:lvlJc w:val="left"/>
      <w:pPr>
        <w:ind w:left="2027" w:hanging="428"/>
      </w:pPr>
      <w:rPr>
        <w:rFonts w:hint="default"/>
        <w:lang w:val="ru-RU" w:eastAsia="ru-RU" w:bidi="ru-RU"/>
      </w:rPr>
    </w:lvl>
    <w:lvl w:ilvl="5" w:tplc="586CA164">
      <w:numFmt w:val="bullet"/>
      <w:lvlText w:val="•"/>
      <w:lvlJc w:val="left"/>
      <w:pPr>
        <w:ind w:left="2509" w:hanging="428"/>
      </w:pPr>
      <w:rPr>
        <w:rFonts w:hint="default"/>
        <w:lang w:val="ru-RU" w:eastAsia="ru-RU" w:bidi="ru-RU"/>
      </w:rPr>
    </w:lvl>
    <w:lvl w:ilvl="6" w:tplc="21B697A8">
      <w:numFmt w:val="bullet"/>
      <w:lvlText w:val="•"/>
      <w:lvlJc w:val="left"/>
      <w:pPr>
        <w:ind w:left="2990" w:hanging="428"/>
      </w:pPr>
      <w:rPr>
        <w:rFonts w:hint="default"/>
        <w:lang w:val="ru-RU" w:eastAsia="ru-RU" w:bidi="ru-RU"/>
      </w:rPr>
    </w:lvl>
    <w:lvl w:ilvl="7" w:tplc="99B2DD6E">
      <w:numFmt w:val="bullet"/>
      <w:lvlText w:val="•"/>
      <w:lvlJc w:val="left"/>
      <w:pPr>
        <w:ind w:left="3472" w:hanging="428"/>
      </w:pPr>
      <w:rPr>
        <w:rFonts w:hint="default"/>
        <w:lang w:val="ru-RU" w:eastAsia="ru-RU" w:bidi="ru-RU"/>
      </w:rPr>
    </w:lvl>
    <w:lvl w:ilvl="8" w:tplc="70E0A464">
      <w:numFmt w:val="bullet"/>
      <w:lvlText w:val="•"/>
      <w:lvlJc w:val="left"/>
      <w:pPr>
        <w:ind w:left="3954" w:hanging="428"/>
      </w:pPr>
      <w:rPr>
        <w:rFonts w:hint="default"/>
        <w:lang w:val="ru-RU" w:eastAsia="ru-RU" w:bidi="ru-RU"/>
      </w:rPr>
    </w:lvl>
  </w:abstractNum>
  <w:abstractNum w:abstractNumId="1">
    <w:nsid w:val="2C8C212D"/>
    <w:multiLevelType w:val="hybridMultilevel"/>
    <w:tmpl w:val="028CFDB0"/>
    <w:lvl w:ilvl="0" w:tplc="CEF88AE2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93C6802A">
      <w:numFmt w:val="bullet"/>
      <w:lvlText w:val="•"/>
      <w:lvlJc w:val="left"/>
      <w:pPr>
        <w:ind w:left="1898" w:hanging="360"/>
      </w:pPr>
      <w:rPr>
        <w:rFonts w:hint="default"/>
        <w:lang w:val="ru-RU" w:eastAsia="ru-RU" w:bidi="ru-RU"/>
      </w:rPr>
    </w:lvl>
    <w:lvl w:ilvl="2" w:tplc="3B06C242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EE92ECE2">
      <w:numFmt w:val="bullet"/>
      <w:lvlText w:val="•"/>
      <w:lvlJc w:val="left"/>
      <w:pPr>
        <w:ind w:left="3655" w:hanging="360"/>
      </w:pPr>
      <w:rPr>
        <w:rFonts w:hint="default"/>
        <w:lang w:val="ru-RU" w:eastAsia="ru-RU" w:bidi="ru-RU"/>
      </w:rPr>
    </w:lvl>
    <w:lvl w:ilvl="4" w:tplc="3A180028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5C581EF6">
      <w:numFmt w:val="bullet"/>
      <w:lvlText w:val="•"/>
      <w:lvlJc w:val="left"/>
      <w:pPr>
        <w:ind w:left="5413" w:hanging="360"/>
      </w:pPr>
      <w:rPr>
        <w:rFonts w:hint="default"/>
        <w:lang w:val="ru-RU" w:eastAsia="ru-RU" w:bidi="ru-RU"/>
      </w:rPr>
    </w:lvl>
    <w:lvl w:ilvl="6" w:tplc="21AAD470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6A781E32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A666328E">
      <w:numFmt w:val="bullet"/>
      <w:lvlText w:val="•"/>
      <w:lvlJc w:val="left"/>
      <w:pPr>
        <w:ind w:left="8049" w:hanging="360"/>
      </w:pPr>
      <w:rPr>
        <w:rFonts w:hint="default"/>
        <w:lang w:val="ru-RU" w:eastAsia="ru-RU" w:bidi="ru-RU"/>
      </w:rPr>
    </w:lvl>
  </w:abstractNum>
  <w:abstractNum w:abstractNumId="2">
    <w:nsid w:val="5CE6256E"/>
    <w:multiLevelType w:val="hybridMultilevel"/>
    <w:tmpl w:val="67024CD8"/>
    <w:lvl w:ilvl="0" w:tplc="86609D7A">
      <w:start w:val="2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C00CBBC">
      <w:numFmt w:val="bullet"/>
      <w:lvlText w:val="•"/>
      <w:lvlJc w:val="left"/>
      <w:pPr>
        <w:ind w:left="553" w:hanging="262"/>
      </w:pPr>
      <w:rPr>
        <w:rFonts w:hint="default"/>
        <w:lang w:val="ru-RU" w:eastAsia="ru-RU" w:bidi="ru-RU"/>
      </w:rPr>
    </w:lvl>
    <w:lvl w:ilvl="2" w:tplc="8B7CA7C6">
      <w:numFmt w:val="bullet"/>
      <w:lvlText w:val="•"/>
      <w:lvlJc w:val="left"/>
      <w:pPr>
        <w:ind w:left="1006" w:hanging="262"/>
      </w:pPr>
      <w:rPr>
        <w:rFonts w:hint="default"/>
        <w:lang w:val="ru-RU" w:eastAsia="ru-RU" w:bidi="ru-RU"/>
      </w:rPr>
    </w:lvl>
    <w:lvl w:ilvl="3" w:tplc="F3EC3874">
      <w:numFmt w:val="bullet"/>
      <w:lvlText w:val="•"/>
      <w:lvlJc w:val="left"/>
      <w:pPr>
        <w:ind w:left="1460" w:hanging="262"/>
      </w:pPr>
      <w:rPr>
        <w:rFonts w:hint="default"/>
        <w:lang w:val="ru-RU" w:eastAsia="ru-RU" w:bidi="ru-RU"/>
      </w:rPr>
    </w:lvl>
    <w:lvl w:ilvl="4" w:tplc="3EC22E16">
      <w:numFmt w:val="bullet"/>
      <w:lvlText w:val="•"/>
      <w:lvlJc w:val="left"/>
      <w:pPr>
        <w:ind w:left="1913" w:hanging="262"/>
      </w:pPr>
      <w:rPr>
        <w:rFonts w:hint="default"/>
        <w:lang w:val="ru-RU" w:eastAsia="ru-RU" w:bidi="ru-RU"/>
      </w:rPr>
    </w:lvl>
    <w:lvl w:ilvl="5" w:tplc="6EAA0342">
      <w:numFmt w:val="bullet"/>
      <w:lvlText w:val="•"/>
      <w:lvlJc w:val="left"/>
      <w:pPr>
        <w:ind w:left="2367" w:hanging="262"/>
      </w:pPr>
      <w:rPr>
        <w:rFonts w:hint="default"/>
        <w:lang w:val="ru-RU" w:eastAsia="ru-RU" w:bidi="ru-RU"/>
      </w:rPr>
    </w:lvl>
    <w:lvl w:ilvl="6" w:tplc="6596B0CE">
      <w:numFmt w:val="bullet"/>
      <w:lvlText w:val="•"/>
      <w:lvlJc w:val="left"/>
      <w:pPr>
        <w:ind w:left="2820" w:hanging="262"/>
      </w:pPr>
      <w:rPr>
        <w:rFonts w:hint="default"/>
        <w:lang w:val="ru-RU" w:eastAsia="ru-RU" w:bidi="ru-RU"/>
      </w:rPr>
    </w:lvl>
    <w:lvl w:ilvl="7" w:tplc="719854E2">
      <w:numFmt w:val="bullet"/>
      <w:lvlText w:val="•"/>
      <w:lvlJc w:val="left"/>
      <w:pPr>
        <w:ind w:left="3273" w:hanging="262"/>
      </w:pPr>
      <w:rPr>
        <w:rFonts w:hint="default"/>
        <w:lang w:val="ru-RU" w:eastAsia="ru-RU" w:bidi="ru-RU"/>
      </w:rPr>
    </w:lvl>
    <w:lvl w:ilvl="8" w:tplc="D9D08C04">
      <w:numFmt w:val="bullet"/>
      <w:lvlText w:val="•"/>
      <w:lvlJc w:val="left"/>
      <w:pPr>
        <w:ind w:left="3727" w:hanging="262"/>
      </w:pPr>
      <w:rPr>
        <w:rFonts w:hint="default"/>
        <w:lang w:val="ru-RU" w:eastAsia="ru-RU" w:bidi="ru-RU"/>
      </w:rPr>
    </w:lvl>
  </w:abstractNum>
  <w:abstractNum w:abstractNumId="3">
    <w:nsid w:val="6D5A6825"/>
    <w:multiLevelType w:val="hybridMultilevel"/>
    <w:tmpl w:val="37B20E44"/>
    <w:lvl w:ilvl="0" w:tplc="C8C26782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75C260E">
      <w:numFmt w:val="bullet"/>
      <w:lvlText w:val="•"/>
      <w:lvlJc w:val="left"/>
      <w:pPr>
        <w:ind w:left="553" w:hanging="167"/>
      </w:pPr>
      <w:rPr>
        <w:rFonts w:hint="default"/>
        <w:lang w:val="ru-RU" w:eastAsia="ru-RU" w:bidi="ru-RU"/>
      </w:rPr>
    </w:lvl>
    <w:lvl w:ilvl="2" w:tplc="32066D40">
      <w:numFmt w:val="bullet"/>
      <w:lvlText w:val="•"/>
      <w:lvlJc w:val="left"/>
      <w:pPr>
        <w:ind w:left="1006" w:hanging="167"/>
      </w:pPr>
      <w:rPr>
        <w:rFonts w:hint="default"/>
        <w:lang w:val="ru-RU" w:eastAsia="ru-RU" w:bidi="ru-RU"/>
      </w:rPr>
    </w:lvl>
    <w:lvl w:ilvl="3" w:tplc="A066E586">
      <w:numFmt w:val="bullet"/>
      <w:lvlText w:val="•"/>
      <w:lvlJc w:val="left"/>
      <w:pPr>
        <w:ind w:left="1460" w:hanging="167"/>
      </w:pPr>
      <w:rPr>
        <w:rFonts w:hint="default"/>
        <w:lang w:val="ru-RU" w:eastAsia="ru-RU" w:bidi="ru-RU"/>
      </w:rPr>
    </w:lvl>
    <w:lvl w:ilvl="4" w:tplc="0C5CA410">
      <w:numFmt w:val="bullet"/>
      <w:lvlText w:val="•"/>
      <w:lvlJc w:val="left"/>
      <w:pPr>
        <w:ind w:left="1913" w:hanging="167"/>
      </w:pPr>
      <w:rPr>
        <w:rFonts w:hint="default"/>
        <w:lang w:val="ru-RU" w:eastAsia="ru-RU" w:bidi="ru-RU"/>
      </w:rPr>
    </w:lvl>
    <w:lvl w:ilvl="5" w:tplc="A0102CF4">
      <w:numFmt w:val="bullet"/>
      <w:lvlText w:val="•"/>
      <w:lvlJc w:val="left"/>
      <w:pPr>
        <w:ind w:left="2367" w:hanging="167"/>
      </w:pPr>
      <w:rPr>
        <w:rFonts w:hint="default"/>
        <w:lang w:val="ru-RU" w:eastAsia="ru-RU" w:bidi="ru-RU"/>
      </w:rPr>
    </w:lvl>
    <w:lvl w:ilvl="6" w:tplc="D862E018">
      <w:numFmt w:val="bullet"/>
      <w:lvlText w:val="•"/>
      <w:lvlJc w:val="left"/>
      <w:pPr>
        <w:ind w:left="2820" w:hanging="167"/>
      </w:pPr>
      <w:rPr>
        <w:rFonts w:hint="default"/>
        <w:lang w:val="ru-RU" w:eastAsia="ru-RU" w:bidi="ru-RU"/>
      </w:rPr>
    </w:lvl>
    <w:lvl w:ilvl="7" w:tplc="925C6A58">
      <w:numFmt w:val="bullet"/>
      <w:lvlText w:val="•"/>
      <w:lvlJc w:val="left"/>
      <w:pPr>
        <w:ind w:left="3273" w:hanging="167"/>
      </w:pPr>
      <w:rPr>
        <w:rFonts w:hint="default"/>
        <w:lang w:val="ru-RU" w:eastAsia="ru-RU" w:bidi="ru-RU"/>
      </w:rPr>
    </w:lvl>
    <w:lvl w:ilvl="8" w:tplc="23D052E2">
      <w:numFmt w:val="bullet"/>
      <w:lvlText w:val="•"/>
      <w:lvlJc w:val="left"/>
      <w:pPr>
        <w:ind w:left="3727" w:hanging="167"/>
      </w:pPr>
      <w:rPr>
        <w:rFonts w:hint="default"/>
        <w:lang w:val="ru-RU" w:eastAsia="ru-RU" w:bidi="ru-RU"/>
      </w:rPr>
    </w:lvl>
  </w:abstractNum>
  <w:abstractNum w:abstractNumId="4">
    <w:nsid w:val="73DA426D"/>
    <w:multiLevelType w:val="hybridMultilevel"/>
    <w:tmpl w:val="37AAEA2C"/>
    <w:lvl w:ilvl="0" w:tplc="2ABA8FE2">
      <w:start w:val="2"/>
      <w:numFmt w:val="decimal"/>
      <w:lvlText w:val="%1."/>
      <w:lvlJc w:val="left"/>
      <w:pPr>
        <w:ind w:left="107" w:hanging="3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BAADF94">
      <w:numFmt w:val="bullet"/>
      <w:lvlText w:val="•"/>
      <w:lvlJc w:val="left"/>
      <w:pPr>
        <w:ind w:left="581" w:hanging="377"/>
      </w:pPr>
      <w:rPr>
        <w:rFonts w:hint="default"/>
        <w:lang w:val="ru-RU" w:eastAsia="ru-RU" w:bidi="ru-RU"/>
      </w:rPr>
    </w:lvl>
    <w:lvl w:ilvl="2" w:tplc="B4D61684">
      <w:numFmt w:val="bullet"/>
      <w:lvlText w:val="•"/>
      <w:lvlJc w:val="left"/>
      <w:pPr>
        <w:ind w:left="1063" w:hanging="377"/>
      </w:pPr>
      <w:rPr>
        <w:rFonts w:hint="default"/>
        <w:lang w:val="ru-RU" w:eastAsia="ru-RU" w:bidi="ru-RU"/>
      </w:rPr>
    </w:lvl>
    <w:lvl w:ilvl="3" w:tplc="1B2A83FC">
      <w:numFmt w:val="bullet"/>
      <w:lvlText w:val="•"/>
      <w:lvlJc w:val="left"/>
      <w:pPr>
        <w:ind w:left="1545" w:hanging="377"/>
      </w:pPr>
      <w:rPr>
        <w:rFonts w:hint="default"/>
        <w:lang w:val="ru-RU" w:eastAsia="ru-RU" w:bidi="ru-RU"/>
      </w:rPr>
    </w:lvl>
    <w:lvl w:ilvl="4" w:tplc="C3843BF6">
      <w:numFmt w:val="bullet"/>
      <w:lvlText w:val="•"/>
      <w:lvlJc w:val="left"/>
      <w:pPr>
        <w:ind w:left="2027" w:hanging="377"/>
      </w:pPr>
      <w:rPr>
        <w:rFonts w:hint="default"/>
        <w:lang w:val="ru-RU" w:eastAsia="ru-RU" w:bidi="ru-RU"/>
      </w:rPr>
    </w:lvl>
    <w:lvl w:ilvl="5" w:tplc="DFDA66DA">
      <w:numFmt w:val="bullet"/>
      <w:lvlText w:val="•"/>
      <w:lvlJc w:val="left"/>
      <w:pPr>
        <w:ind w:left="2509" w:hanging="377"/>
      </w:pPr>
      <w:rPr>
        <w:rFonts w:hint="default"/>
        <w:lang w:val="ru-RU" w:eastAsia="ru-RU" w:bidi="ru-RU"/>
      </w:rPr>
    </w:lvl>
    <w:lvl w:ilvl="6" w:tplc="140A1AA2">
      <w:numFmt w:val="bullet"/>
      <w:lvlText w:val="•"/>
      <w:lvlJc w:val="left"/>
      <w:pPr>
        <w:ind w:left="2990" w:hanging="377"/>
      </w:pPr>
      <w:rPr>
        <w:rFonts w:hint="default"/>
        <w:lang w:val="ru-RU" w:eastAsia="ru-RU" w:bidi="ru-RU"/>
      </w:rPr>
    </w:lvl>
    <w:lvl w:ilvl="7" w:tplc="29C6139E">
      <w:numFmt w:val="bullet"/>
      <w:lvlText w:val="•"/>
      <w:lvlJc w:val="left"/>
      <w:pPr>
        <w:ind w:left="3472" w:hanging="377"/>
      </w:pPr>
      <w:rPr>
        <w:rFonts w:hint="default"/>
        <w:lang w:val="ru-RU" w:eastAsia="ru-RU" w:bidi="ru-RU"/>
      </w:rPr>
    </w:lvl>
    <w:lvl w:ilvl="8" w:tplc="0D560FE4">
      <w:numFmt w:val="bullet"/>
      <w:lvlText w:val="•"/>
      <w:lvlJc w:val="left"/>
      <w:pPr>
        <w:ind w:left="3954" w:hanging="37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F7D"/>
    <w:rsid w:val="0047346A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"/>
      <w:ind w:left="2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right="2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2018-09-04T15:01:00Z</dcterms:created>
  <dcterms:modified xsi:type="dcterms:W3CDTF">2018-09-04T15:01:00Z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