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A4" w:rsidRPr="000113A4" w:rsidRDefault="000113A4" w:rsidP="000113A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  <w:lang w:eastAsia="ru-RU"/>
        </w:rPr>
      </w:pPr>
      <w:r w:rsidRPr="000113A4">
        <w:rPr>
          <w:rFonts w:ascii="Arial" w:eastAsia="Times New Roman" w:hAnsi="Arial" w:cs="Arial"/>
          <w:spacing w:val="-15"/>
          <w:sz w:val="36"/>
          <w:szCs w:val="36"/>
          <w:lang w:eastAsia="ru-RU"/>
        </w:rPr>
        <w:t>«Сенсорное воспитание детей раннего возраста в дошкольном образовательном учреждении»</w:t>
      </w:r>
    </w:p>
    <w:p w:rsidR="000113A4" w:rsidRPr="000113A4" w:rsidRDefault="000113A4" w:rsidP="000113A4">
      <w:pPr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ru-RU"/>
        </w:rPr>
      </w:pP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Ранний возраст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является наиболее важным периодом формирования фундамента общего умственного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воспитания ребенка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Основу умственного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воспитания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ребенка составляет своевременное формирование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сенсорных эталонов – формы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цвета, величины. В связи с этим, в настоящее время на первое место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дошкольная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психология выдвигает проблему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сенсорного воспитания детей раннего возраста в условиях дошкольного образовательного учреждения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решение которой обеспечит, в последующем, хорошую базу для интеллектуальной готовности ребенка к школьному обучению.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Проблемы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сенсорного воспитания связаны с ролью 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как психического процесса, в жизни 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воспитании ребенка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Для каждого психического процесса существуют свои, наиболее благоприятные периоды, </w:t>
      </w:r>
      <w:r w:rsidRPr="000113A4">
        <w:rPr>
          <w:rFonts w:ascii="Trebuchet MS" w:eastAsia="Times New Roman" w:hAnsi="Trebuchet MS" w:cs="Times New Roman"/>
          <w:sz w:val="21"/>
          <w:szCs w:val="21"/>
          <w:u w:val="single"/>
          <w:lang w:eastAsia="ru-RU"/>
        </w:rPr>
        <w:t>развития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 для младенческого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возраста - ощущения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для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раннего возраста - речь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для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дошкольного - восприятие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для младшего школьника - мышление. Если ребенок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раннего возраста недостаточно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был включен в соответствующую для этого периода предметную деятельность, то может возникнуть задержка психических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образований данного периода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которая повлечет за собой отставание и других явлений при переходе на следующий этап.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Исходя из отмеченных особенностей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возрастного развития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чрезвычайно важно создать благоприятные условия для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воспитания 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в соответствии с возможностями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В этом особая актуальность проблемы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сенсорного воспитания детей 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раннем детстве восприятие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признаков объекта возникает при выполнении предметной деятельности. У младшего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дошкольника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обследование предметов подчиняется преимущественно игровым целям. Исследование З. М. Богуславской показало, что на протяжении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дошкольного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игровое манипулирование сменяется собственно обследовательскими действиями с предметом и превращается в целенаправленное его опробование для уяснения назначения его частей, их подвижности и связи друг с другом. К старшему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дошкольному возрасту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обследование приобретает характер экспериментирования, обследовательских действий, последовательность которых определяется не внешними впечатлениями ребенка, а поставленной перед ним познавательной задачей.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В работе по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сенсорному воспитанию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учитываются особенности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сенсорного развития в раннем возрасте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- зрительное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становится ведущим при ознакомлении с окружающим;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- осваиваются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сенсорные эталоны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;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-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возрастает целенаправленность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планомерность, управляемость, осознанность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;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- с установлением взаимосвязей с речью и мышлением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proofErr w:type="spellStart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интеллектуализируется</w:t>
      </w:r>
      <w:proofErr w:type="spell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По Г. А. </w:t>
      </w:r>
      <w:proofErr w:type="spellStart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Урунтаевой</w:t>
      </w:r>
      <w:proofErr w:type="spell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раннем возрасте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продолжается развитие по трем основным </w:t>
      </w:r>
      <w:r w:rsidRPr="000113A4">
        <w:rPr>
          <w:rFonts w:ascii="Trebuchet MS" w:eastAsia="Times New Roman" w:hAnsi="Trebuchet MS" w:cs="Times New Roman"/>
          <w:sz w:val="21"/>
          <w:szCs w:val="21"/>
          <w:u w:val="single"/>
          <w:lang w:eastAsia="ru-RU"/>
        </w:rPr>
        <w:t>направлениям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 расширяются и углубляются представления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соответствующие общепринятым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сенсорным эталонам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; способы их использования становятся значительно более точными 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целесообразными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; обследование предметов приобретает при благоприятных условиях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воспитания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систематизированный и плановый характер. Отличительной особенностью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 у ребенка 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является необходимость тактильного обследования предметов.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Расширение и углубление представлений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 о форме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цвете, величине предметов происходит главным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за счет систематизации этих представлений. Так, знакомясь с цветом, дети на занятиях в ДОУ узнают о последовательности расположения цветов в спектре, об их делении на теплые и холодные цвета, об оттенках, которые занимают промежуточное положение между цветами спектра. Определяя цвет предмета, они устанавливают его место среди других цветов. Так, один ребенок, говоря о цвете моркови, забыл слово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«оранжевый»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Тогда он </w:t>
      </w:r>
      <w:r w:rsidRPr="000113A4">
        <w:rPr>
          <w:rFonts w:ascii="Trebuchet MS" w:eastAsia="Times New Roman" w:hAnsi="Trebuchet MS" w:cs="Times New Roman"/>
          <w:sz w:val="21"/>
          <w:szCs w:val="21"/>
          <w:u w:val="single"/>
          <w:lang w:eastAsia="ru-RU"/>
        </w:rPr>
        <w:t>сказал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«Это такой цвет, когда красный смешивают с желтым»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lastRenderedPageBreak/>
        <w:t>Восприятием детей 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управляет и руководит только взрослый. В ходе выполнения разных видов деятельности при соответствующем педагогическом руководстве дети младших групп детского сада учатся наблюдать, рассматривать объекты. В рисовании, конструировании педагог направляет обследование объекта для выделения разных его сторон.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Основной метод обследования предметов определяет следующую последовательность действий ребенка. Первоначально предмет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воспринимается в целом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Затем вычленяются его главные части и определяются их свойства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(форма, величина и пр.)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На следующем этапе выделяются пространственные взаимоотношения частей относительно друг друга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(выше, ниже, справа, слева)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В дальнейшем вычленении более мелких деталей устанавливается их пространственное расположение по отношению к их основным частям. Завершается обследование повторным целостным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восприятием предмета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Постепенно увеличивается число объектов, сторон действительности, привлекающих его внимание. Сначала только взрослый ставит цель наблюдения и контролирует весь его ход. Его словесные указания организуют деятельность ребенка. А затем педагог учит ребенка постановке таких целей и контролю за процессом их достижения.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Наблюдение превращается у ребенка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своеобразную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умственную деятельность, направленную на решение интеллектуальных проблем. Ухаживая за растениями и животными, ребенок наблюдает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преобразования в их внешнем виде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и, постигая процессы роста и развития, устанавливая скрытые закономерности и связи, он видит, что растения засыхают, если их не поливать. У ребенка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речь все больше включается в процессы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Формулировка цели наблюдения в речи позволяет осознать ее и спланировать последующий процесс. Называние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воспринятого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 признака объекта в слове помогает ребенку абстрагировать его от предмета и </w:t>
      </w:r>
      <w:proofErr w:type="gramStart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осознать</w:t>
      </w:r>
      <w:proofErr w:type="gram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как специфическую характеристику действительности. Дети все правильнее передают в речи то, что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воспринимают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Речь помогает осмыслить важнейшие качества предметов как единое целое. По мнению Е. В. Сербиной, при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нового предмета дети дают ему наименование в соответствии со своим прошлым опытом, относят к определенной категории сходных объектов.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Связь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с мышлением и речью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1 младшей группы ДОУ приводит к его интеллектуализации. Обследование свойств предметов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раннем возрасте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происходит путем их моделирования, замещения идеальными представлениями -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сенсорными эталонами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В ходе обследовательской деятельности происходит как бы перевод свойств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воспринимаемого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объекта на знакомый ребенку язык, каковым являются системы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сенсорных эталонов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Ознакомление с ними и способами их использования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 xml:space="preserve">(начиная с 2,5 </w:t>
      </w:r>
      <w:proofErr w:type="gramStart"/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лет)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занимает</w:t>
      </w:r>
      <w:proofErr w:type="gram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основное место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 развитии ребенка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Освоение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сенсорных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эталонов не только значительно расширяет сферу познаваемых ребенком свойств, но и позволяет отражать взаимосвязь между ними.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эталоны - это представления о чувственно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воспринимаемых свойствах объектов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Эти представления характеризуются обобщенностью, так как в них закреплены наиболее существенные, главные качества. Осмысленность эталонов выражается в соответствующем названии - слове. Эталоны не существуют отдельно друг от друга, а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образуют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 определенные системы, </w:t>
      </w:r>
      <w:proofErr w:type="gramStart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например</w:t>
      </w:r>
      <w:proofErr w:type="gram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решетка фонем родного языка, спектр цветов, шкала музыкальных звуков, система геометрических форм и пр., что составляет их системность.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Ребенок 1 младшей группы ДОУ знакомится с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сенсорными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эталонами в процессе деятельности, предполагающей ориентировку в свойствах предметов и их обследование. После 2,5 лет решающее значение в развитии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приобретают продуктивные виды деятельности. Они требуют не просто учета, а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воспроизведения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предметных свойств и отношений, чем способствуют усвоению общепринятых эталонов через свойства используемых материалов. Так, в конструировании устанавливаются представления о форме и величине.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Соотношения осязания и зрения в процессе обследования предметов неоднозначны и зависят от новизны объекта и стоящей перед ребенком задачи. Так, при предъявлении новых предметов возникает длительный процесс ознакомления, сложная ориентировочно-исследовательская деятельность. Дети берут предмет в руки, ощупывают, пробуют на вкус, сгибают, растягивают, стучат им об стол, подносят к уху и пр. Таким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они сначала знакомятся с предметом в целом, а потом выделяют в нем отдельные свойства.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 у детей 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становясь под руководством взрослого, управляемым, осмысленным, интеллектуальным, процессом, опираясь на использование фиксированных в культуре 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способов и средств, позволяет глубже проникнуть в окружающее и познать более сложные стороны действительности. Так, с точки зрения А. А. Катаевой, усложняется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времени и пространства, развивается художественно-эстетическое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литературных произведений, живописи, театра, музыки. Речь способствует освоению таких сложных видов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как пространство, время.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Выделяя пространственные отношения в практической деятельности, ребенок их не осознает. Важно, что собственное тело малыша становится для него точкой отсчета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пространства и правая рука выделяется как орган, выполняющий действия. Как показало исследование З. А. Михайловой, ребенок ориентируется в направлениях вперед-назад, вверх-вниз, вправо-влево, либо двигаясь в ту или иную сторону, либо изменяя соответствующим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образом положение корпуса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головы, рук и контролируя эти движения зрением. Речь не играет решающей роли в пространственном различении. </w:t>
      </w:r>
      <w:proofErr w:type="spellStart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Генерализованные</w:t>
      </w:r>
      <w:proofErr w:type="spellEnd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реакции (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«тут»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«там»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«здесь»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и т. д., сопровождающие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 ребенком ситуации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его указательные жесты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свидетельствуют о том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что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восприятие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направлений пространства ограничивается некоторой практической дифференцировкой этих направлений.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Формирование более обобщенных представлений о пространстве у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 раннего 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обеспечивает способность ребенка определить направления не только относительно себя, но и в отношении к другим лицам и предметам. Движения и ориентировочные действия постепенно переходят в план представляемых действий. А речевые акты, освобождаясь от первоначальной связи с движениями тела и рук, приобретают ведущее значение, переносятся во внутренний план, т. е. развиваются как процессы внутренней речи.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Таким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главное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 воспитании детей раннего возраста в ДОУ состоит в том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что дети полностью переходят от использования внешних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образцов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(эталонов)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к использованию усвоенных представлений. Последовательное, планомерное обследование предмета - словесное описание его разных свойств - трудная задача даже для данного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Возможность ее успешного разрешения в группе детского сада связана не только с уровнем развития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 но и с развитием речи ребенка, умением связно передавать в словах результаты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восприятия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Эффективным развивающим средством здесь становится дидактическая игра. В игре дети достигают успехов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развитии только при систематическом обучении.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Нами разработаны и проведены развивающие занятия в виде дидактических игр, направленных на формирование у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 сенсорных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понятий и представлений. Занятия проводились как фронтально, так и индивидуально 2 раза в неделю.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Проводились занятия в игровой форме.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Констатирующий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этап эксперимента показал, что для работы по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сенсорному развитию детей раннего возраста надо обратить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особое внимание на следующие умения.</w:t>
      </w:r>
    </w:p>
    <w:p w:rsidR="000113A4" w:rsidRPr="000113A4" w:rsidRDefault="000113A4" w:rsidP="000113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Обобщение геометрических фигур, предметов по форме, размеру, цвету и т. д. Выделение одновременно трех свойств геометрических фигур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(форма, цвет, размер)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Ориентировка в групповой комнате по плану, умение двигаться в заданном направлении, определение расположения предмета по отношению к себе. Ориентировка на плоскости стола и листе бумаги.</w:t>
      </w:r>
    </w:p>
    <w:p w:rsidR="000113A4" w:rsidRPr="000113A4" w:rsidRDefault="000113A4" w:rsidP="000113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Классификация предметов по одному, двум признакам – по форме, по форме и цвету, по цвету и величине.</w:t>
      </w:r>
    </w:p>
    <w:p w:rsidR="000113A4" w:rsidRPr="000113A4" w:rsidRDefault="000113A4" w:rsidP="000113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Активное участие в воссоздании силуэтов, построек,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изображений</w:t>
      </w:r>
      <w:r w:rsidR="00F047D0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в играх развивающего характера по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образцу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Формирование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сенсорных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представлений мы проводили в любые свободные промежутки </w:t>
      </w:r>
      <w:r w:rsidRPr="000113A4">
        <w:rPr>
          <w:rFonts w:ascii="Trebuchet MS" w:eastAsia="Times New Roman" w:hAnsi="Trebuchet MS" w:cs="Times New Roman"/>
          <w:sz w:val="21"/>
          <w:szCs w:val="21"/>
          <w:u w:val="single"/>
          <w:lang w:eastAsia="ru-RU"/>
        </w:rPr>
        <w:t>времени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 во время режимных моментов, в различных видах игр, на прогулке, а также на занятиях по развитию элементарных математических представлений.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Для решения поставленных целей и задач мы решили провести игры по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сенсорному воспитанию 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экспериментальной группы. Для этого мы разделили все игры по принципу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«от простого к сложному»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Вся экспериментальная программа по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сенсорному воспитанию 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была приведена в соответствии с программой обучения и проводилась по следующему плану.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Выявление подготовленности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Сравнение предметов по цвету, размеру, форме. Круг, треугольник, квадрат.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Сравнение групп предметов. Понятия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«больше»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«меньше»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, </w:t>
      </w:r>
      <w:r w:rsidRPr="000113A4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>«столько же»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Сравнение предметов по форме.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Сравнение предметов по величине.</w:t>
      </w:r>
    </w:p>
    <w:p w:rsidR="000113A4" w:rsidRPr="000113A4" w:rsidRDefault="000113A4" w:rsidP="000113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Сравнение предметов по цвету.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Дидактическая игра – средство обучения, поэтому она может быть использована при усвоении любого программного материала. В дидактической игре создаются такие условия, в которых каждый ребенок получает возможность самостоятельно действовать в определенной ситуации или с определенными предметами, приобретая собственный действенный и чувственный опыт.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Успешному проведению дидактических игр способствует умелое психолого-педагогическое руководство ими. Доброжелательность взрослого, благодаря которой и появляется сотрудничество, обеспечивает желание ребенка действовать вместе с взрослым и добиваться положительного результата.</w:t>
      </w:r>
    </w:p>
    <w:p w:rsidR="000113A4" w:rsidRPr="000113A4" w:rsidRDefault="000113A4" w:rsidP="000113A4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Содержание и методика дидактических игр-занятий направлены и на общее развитие координации движений, умения действовать с предметами. В силу определенной целенаправленности дидактических занятий и игр важно сочетать наглядные приемы с действиями самих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. Это соответствует и особенностям познания окружающего, свойственным детям в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раннем возрасте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: они осваивают окружающие их предметы и явления действенным путем, пользуясь для этого всеми доступными им на данном этапе возможностями. Для ребенка данного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возраста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- это путь накопления чувственного опыта, путь ознакомления с реальным миром. При построении занятия необходимо использовать потребность </w:t>
      </w:r>
      <w:r w:rsidRPr="000113A4">
        <w:rPr>
          <w:rFonts w:ascii="Trebuchet MS" w:eastAsia="Times New Roman" w:hAnsi="Trebuchet MS" w:cs="Times New Roman"/>
          <w:bCs/>
          <w:sz w:val="21"/>
          <w:szCs w:val="21"/>
          <w:lang w:eastAsia="ru-RU"/>
        </w:rPr>
        <w:t>детей</w:t>
      </w: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 действовать с предметами и в то же время управлять их активностью в соответствии с поставленной задачей.</w:t>
      </w:r>
    </w:p>
    <w:p w:rsidR="000113A4" w:rsidRPr="000113A4" w:rsidRDefault="000113A4" w:rsidP="000113A4">
      <w:pPr>
        <w:spacing w:after="150" w:line="240" w:lineRule="auto"/>
        <w:ind w:right="150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113A4">
        <w:rPr>
          <w:rFonts w:ascii="Trebuchet MS" w:eastAsia="Times New Roman" w:hAnsi="Trebuchet MS" w:cs="Times New Roman"/>
          <w:sz w:val="21"/>
          <w:szCs w:val="21"/>
          <w:lang w:eastAsia="ru-RU"/>
        </w:rPr>
        <w:t>Ниже приведены конспекты дидактических игр, использованных на формирующем этапе эксперимента.</w:t>
      </w:r>
    </w:p>
    <w:p w:rsidR="0081112C" w:rsidRPr="000113A4" w:rsidRDefault="0081112C" w:rsidP="000113A4">
      <w:pPr>
        <w:jc w:val="both"/>
      </w:pPr>
    </w:p>
    <w:sectPr w:rsidR="0081112C" w:rsidRPr="0001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2C5F"/>
    <w:multiLevelType w:val="multilevel"/>
    <w:tmpl w:val="CBCA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4E33"/>
    <w:multiLevelType w:val="multilevel"/>
    <w:tmpl w:val="970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E"/>
    <w:rsid w:val="000113A4"/>
    <w:rsid w:val="0003663E"/>
    <w:rsid w:val="0081112C"/>
    <w:rsid w:val="00F0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4D43"/>
  <w15:chartTrackingRefBased/>
  <w15:docId w15:val="{2F89D895-FF5C-4BE2-88D7-83F50323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3A4"/>
    <w:rPr>
      <w:b/>
      <w:bCs/>
    </w:rPr>
  </w:style>
  <w:style w:type="character" w:styleId="a5">
    <w:name w:val="Emphasis"/>
    <w:basedOn w:val="a0"/>
    <w:uiPriority w:val="20"/>
    <w:qFormat/>
    <w:rsid w:val="00011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4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simpetr</dc:creator>
  <cp:keywords/>
  <dc:description/>
  <cp:lastModifiedBy>simpetr</cp:lastModifiedBy>
  <cp:revision>3</cp:revision>
  <dcterms:created xsi:type="dcterms:W3CDTF">2020-09-13T08:45:00Z</dcterms:created>
  <dcterms:modified xsi:type="dcterms:W3CDTF">2020-09-13T08:47:00Z</dcterms:modified>
</cp:coreProperties>
</file>