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A04" w:rsidRPr="00776A04" w:rsidRDefault="004E0BB6" w:rsidP="004E0BB6">
      <w:pPr>
        <w:spacing w:before="100" w:beforeAutospacing="1" w:after="100" w:afterAutospacing="1"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Доклад: «</w:t>
      </w:r>
      <w:r w:rsidR="00F7622B">
        <w:rPr>
          <w:rFonts w:ascii="Times New Roman" w:eastAsia="Times New Roman" w:hAnsi="Times New Roman" w:cs="Times New Roman"/>
          <w:b/>
          <w:sz w:val="24"/>
          <w:szCs w:val="24"/>
          <w:lang w:eastAsia="ru-RU"/>
        </w:rPr>
        <w:t>Гражданское право</w:t>
      </w:r>
      <w:bookmarkStart w:id="0" w:name="_GoBack"/>
      <w:bookmarkEnd w:id="0"/>
      <w:r>
        <w:rPr>
          <w:rFonts w:ascii="Times New Roman" w:eastAsia="Times New Roman" w:hAnsi="Times New Roman" w:cs="Times New Roman"/>
          <w:b/>
          <w:sz w:val="24"/>
          <w:szCs w:val="24"/>
          <w:lang w:eastAsia="ru-RU"/>
        </w:rPr>
        <w:t>».</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Гражданское право регулирует имущественные отношения, обусловленные использованием товарно-денежной формы, связанные с ними личные неимущественные отношения и предусмотренные гражданским законодательством не связанные с имущественными личные неимущественные отношения между субъектами этих отношений. Гражданское право представляет собою важную отрасль права. Это обусловлено:</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Во-первых, гражданское право регулирует основные повседневные отношения граждан и организаций. Еще до рождения человека гражданское право предусматривает охрану его возможных интересов на случай наследования. С момента рождения гражданин приобретает возможность быть участником различных правоотношений. Организации при своем возникновении получает определенное наименование и право быть участникам правоотношений, соответствующих целям ее деятельности. Принадлежность вещей гражданам и организациям определяется гражданским правам — все эти и многие другие отношения регулируются гражданским правом.</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Во-вторых, гражданское право регулирует в основном необходимые отношения.</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Гражданское право имеет практическое значение. Каждый юрист должен знать нормы гражданского права. Дела по гражданскому праву составляют значительную часть в суде и все дела в арбитраже. Повышается удельный вес гражданских дел в работе юрисконсультов и адвокатов. Следовательно, необходимо знать гражданское право для решения вопросов о гражданском истце и гражданском ответчике, об обеспечении гражданского иска и других возможностей. Наконец, знание гражданского права совершенно необходимо для выработки юридического мышления.</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Одна отрасль права отличается от другой по предмету правового регулирования, т. е. по тем общественным отношениям, которые регулируются каждой отраслью права. Предмет гражданского права может быть в общих чертах определен согласно ст. 2 Гражданского Кодекса РФ: это имущественные и связанные с ними личные неимущественные отношения. Имущественные отношения складываются между людьми по поводу имущества, то есть того, что человек имеет. Отношения по владению, пользованию и распоряжению вещами, безотносительно к тому, осуществляются ли данные действия собственником или не собственником, носят всегда имущественный характер вследствие наличия в них вещественного объекта. Отношения собственности носят одинаково имущественный характер и в тех случаях, когда собственник сам пользуется принадлежащей ему вещью, и в том, когда он свою вещь передает другому лицу, возмездно или безвозмездно. Имущественный характер носят также отношения собственника с нанимателем, безвозмездным пользователем, подрядчиком, хранителем и другими лицами по поводу вещей, вне зависимости от того, являются ли эти отношения возмездными или безвозмездными.</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В большинстве своем эти отношения имеют экономическое содержание, определяемое тем, что они возникают и развиваются по поводу экономических ценностей, но экономическая ценность вещей не обязательный признак таких отношений. Имущественными будут и отношения по поводу той вещи, которая не обладает экономической ценностью, но связана с каким-то личным интересом ее владельца.</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 xml:space="preserve">Отношения, предметом которых не служат вещи, носят имущественный характер только в тех случаях, когда они направлены на получение экономических ценностей: платы за </w:t>
      </w:r>
      <w:r w:rsidRPr="00776A04">
        <w:rPr>
          <w:rFonts w:ascii="Times New Roman" w:eastAsia="Times New Roman" w:hAnsi="Times New Roman" w:cs="Times New Roman"/>
          <w:sz w:val="24"/>
          <w:szCs w:val="24"/>
          <w:lang w:eastAsia="ru-RU"/>
        </w:rPr>
        <w:lastRenderedPageBreak/>
        <w:t>совершенное деяние, возмещения убытков, имущественных санкций — или являются их результатом. Сюда относятся также уступки требований и переводы долгов, имеющих своей целью перемещение материальных благ. Таким образам, имущественными являются отношения по поводу вещей и иных материальных благ как наличествующих, так и безналичных. Отношения, объектам которых становятся действия, не связанные с передачей вещей и иных материальных благ, или нематериальные блата, представляют собою отношения неимущественные.</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Следовательно, имущественные отношения — это отношения по поводу владения, пользования и распоряжения вещами, а также иные отношения, связанные с передачей материальных благ.</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Личные неимущественные отношения, составляющие предмет гражданско-правового регулирования, делятся на две группы, имеющие различную историю и разное обоснование.</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Одна группа личных неимущественных отношений принадлежит предмету гражданского права вследствие их связи с имущественными отношениями, регулируемыми гражданским правом. Например, между организацией, избравшей и зарегистрировавшей определенный товарный знак, и окружающими лицами складываются личные неимущественные отношения: никто не вправе пользоваться таким же товарным знакам. Однако эти отношения связаны с имущественными, потому что зарекомендовавшая себя продукция узнается по товарному знаку и незаконное пользование им способно причинить убытки его владельцу.</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Иначе обстоит дело с личными неимущественными отношениями второй группы, то есть не связанными с имущественными. Здесь и объекты другие, не отделимые от личности (например, честь и достоинство), и нет такой прямой связи с имущественными отношениями, которая могла бы обусловить принадлежность данных отношений к гражданскому праву. Поэтому отнесение охраны некоторых личных благ к предмету гражданского права носит характер исключения в случаях, предусмотренных законом. Кроме чести и достоинства, гражданское право предусматривает охрану и защиту только одного — двух личных неимущественных благ, не связанных с имущественными. Недаром в Конституции уделено столько внимания личным правам, и свободам. В связи с этим правовое регулирование отношений, объектом которых являются личные неимущественные блага, причем не выборочно, а в полном объеме, настоятельно привлекает к себе интерес цивилистов.</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Кроме рассмотренного предмета правового регулирования, гражданское право отличается и определенным методом регулирования, то есть способом воздействия на участников регулируемых отношений и организации их правовой связи. Гражданско-правовой метод характеризуется наделением субъектов на началах их равенства способностью к правообладанию, диспозитивностью и инициативой, обеспечивает установление правоотношений на основе правовой самостоятельности сторон. Гражданское право рассматривает стороны как равноправные, не подчиненные друг другу. Отсюда и споры между ними должны разрешаться третьим, незаинтересованным лицом либо органом.</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 xml:space="preserve">Диспозитивность в гражданском праве проявляется двояко. С одной стороны, в гражданском праве много диспозитивных норм. С другой стороны, гражданское право предоставляет субъектам более или менее широкую возможность осуществления принадлежащих им прав. У граждан эта возможность весьма широка, они свободно пользуются или не пользуются своими субъективными правами и возможностями. У </w:t>
      </w:r>
      <w:r w:rsidRPr="00776A04">
        <w:rPr>
          <w:rFonts w:ascii="Times New Roman" w:eastAsia="Times New Roman" w:hAnsi="Times New Roman" w:cs="Times New Roman"/>
          <w:sz w:val="24"/>
          <w:szCs w:val="24"/>
          <w:lang w:eastAsia="ru-RU"/>
        </w:rPr>
        <w:lastRenderedPageBreak/>
        <w:t>организаций эта свобода не должна вступать в противоречие со стоящими перед ними задачами.</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Метод регулирования имеет большое значение в правотворчестве.</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Функции гражданского права представляют собою его действие в определенных направлениях.</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Наиболее обосновано предлагаемое выделение функции организации и преобразования общественных отношений. Бесспорно, существование воспитательной функции, осуществляемой различными методами, которые не следует смешивать с функциями. Одна из основных задач гражданского права, определяющая его устойчивую жизненность, заключается в том, чтобы показать участникам общественных отношений, как надо действовать. Эта задача достигается воспитанием надлежащего поведения, становящегося незыблемым. Такое воспитание свойственно гражданскому праву, регулирующему, как правило, активное поведение, а не только воздержание от правонарушений. Внушение убеждения в правильности поведения является главным в воспитании, это один метод. Другой метод — метод воздаяния, поощрения и наказания менее совершенен, но, видимо, неизбежен. Столь же бесспорно существование восстановительной (компенсационной) функции гражданского права, присущей данной отрасли права, строящейся на имущественной и личной обособленности субъектов. Можно согласиться с тем, что это один из аспектов охранительной деятельности, но вряд ли ее можно рассматривать в качестве самостоятельной функции вследствие условности отграничения ее от регулятивной и потому, что такая деятельность в области гражданского права заключается в основном в компенсации, хотя и не исчерпывается ею (санкции, не связанные с восстановлением нарушенного положения).</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Гражданское право характеризуется определенными принципами. Может быть указано большое количество принципов, действующих в той либо иной сфере гражданско-правового регулирования. Например, есть принципы, действующие во всем праве и только в гражданском праве. В качестве основных принципов должны быть выделены такие положения, которые необходимо постоянно иметь в виду при рассмотрении любого гражданского дела. А именно:</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Принцип дозволительной направленности гражданско-правового регулирования. Значение данного принципа в условиях рыночной экономики чрезвычайно велико. Рыночная экономика может успешно развиваться только в том случае, если субъекты гражданского права обладают необходимой свободой, проявляют предприимчивость, инициативу и иную активность в сфере гражданского оборота. Последнее было бы невозможно без воплощенного в нормах гражданского права принципа дозволительной направленности гражданско-правового регулирования общественных отношений.</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Содержащиеся в гражданском законодательстве нормы права сформулированы на базе общего правила: “разрешено все то, что не запрещено законом”. В соответствии с этим правилом субъекты гражданского права могут совершать любые действия, не запрещенные законом. В частности, граждане и юридические лица, наделенные общей правоспособностью, могут заниматься любыми видами предпринимательской и иной деятельности, не запрещенной законом (ст. 18, 49 ГК РФ).</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 xml:space="preserve">Другим проявлением рассматриваемого принципа является то обстоятельство, что большинство норм гражданского права носит диспозитивный характер. Применение этих норм всецело зависит от усмотрения участников гражданского оборота. Они могут </w:t>
      </w:r>
      <w:r w:rsidRPr="00776A04">
        <w:rPr>
          <w:rFonts w:ascii="Times New Roman" w:eastAsia="Times New Roman" w:hAnsi="Times New Roman" w:cs="Times New Roman"/>
          <w:sz w:val="24"/>
          <w:szCs w:val="24"/>
          <w:lang w:eastAsia="ru-RU"/>
        </w:rPr>
        <w:lastRenderedPageBreak/>
        <w:t>исключить применение диспозитивной нормы к своим отношениям, могут изменить ее содержание в целом или какой-либо ее части и т.д. Благодаря тому, что в основе гражданского законодательства лежат диспозитивные нормы, субъекты гражданского права могут реализовывать свою правоспособность по своему усмотрению, приобретать субъективные права или не приобретать их, выбирать конкретный способ их приобретения, регулировать по своему усмотрению содержание правоотношения, участниками которого они являются, распоряжаться принадлежащими им субъективными правами, прибегать или не прибегать к мерам защиты нарушенного права и т.д.</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Субъекты гражданского права могут приобретать права и возлагать на себя обязанности, не только предусмотренные законом и иными правовыми актами, но и такие права и обязанности, которые не предусмотрены гражданским законодательством, если они не противоречат общим началам и смыслу гражданского законодательства.</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Наиболее эффективное развитие гражданского оборота происходит тогда, когда его участники вступают в отношения друг с другом и осуществляют свою деятельность в рамках этих отношений в соответствии со своими интересами, воплощенными в принадлежащих им правах. С учетом этого гражданское законодательство устанавливает, что субъекты гражданского права по своему усмотрению осуществляют принадлежащие им гражданские права. Усмотрение субъектов гражданского права при осуществлении принадлежащих им прав опирается только на их имущественные и иные интересы. Никто не вправе диктовать участникам гражданских правоотношений, как осуществлять принадлежащие им права.</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Вместе с тем свобода усмотрения участников гражданских правоотношений не безгранична и существует в определенных юридических рамках. Действующее законодательство устанавливает соответствующие пределы осуществления гражданских прав.</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Участник гражданского правоотношения может воспользоваться принадлежащим ему правом, а может и не воспользоваться, отказавшись от его осуществления. При этом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В частности, не прекращает существования права на судебную защиту нарушенного гражданского права оговорка, сделанная сторонами в договоре о том, что все разногласия между ними решаются путем переговоров без обращения в суд за разрешением возникшего спора.</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Поскольку осуществление и защита гражданских прав зависят от усмотрения участников гражданского оборота, органы государственной власти и местного самоуправления, а также иные лица не вправе понуждать участников гражданских правоотношений к осуществлению или защите их субъективных прав. Правовые акты также не могут устанавливать обязанность участников гражданских правоотношений</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по осуществлению или защите принадлежащих им прав и, тем более, вводить санкции в отношении тех лиц, которые не предъявляют иски защите нарушенных гражданских прав, как это имело место в недалеком прошлом.</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Принцип равенства правового режима для всех субъектов гражданского права. Этот принцип означает, что ни один субъект в гражданском праве не обладает какими-либо преимуществами перед другими субъектами гражданского права. Одним из проявлений указанного принципа является то, что одни и те же нормы права распространяются на отношения с участием граждан и на отношения с участием организаций, Российской Федерации, субъектов Российской Федерации и муниципальных образований.</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lastRenderedPageBreak/>
        <w:t xml:space="preserve">Этот принцип проходит через все структурные подразделения гражданского законодательства. Так, если в ранее действовавшем законодательстве предусматривалось два срока исковой давности: три года для отношений с участием граждан и один год для отношений между организациями, то в ныне действующем законодательстве закреплен единый для всех субъектов гражданского права трехгодичный срок исковой давности. В </w:t>
      </w:r>
      <w:proofErr w:type="spellStart"/>
      <w:r w:rsidRPr="00776A04">
        <w:rPr>
          <w:rFonts w:ascii="Times New Roman" w:eastAsia="Times New Roman" w:hAnsi="Times New Roman" w:cs="Times New Roman"/>
          <w:sz w:val="24"/>
          <w:szCs w:val="24"/>
          <w:lang w:eastAsia="ru-RU"/>
        </w:rPr>
        <w:t>подотрасли</w:t>
      </w:r>
      <w:proofErr w:type="spellEnd"/>
      <w:r w:rsidRPr="00776A04">
        <w:rPr>
          <w:rFonts w:ascii="Times New Roman" w:eastAsia="Times New Roman" w:hAnsi="Times New Roman" w:cs="Times New Roman"/>
          <w:sz w:val="24"/>
          <w:szCs w:val="24"/>
          <w:lang w:eastAsia="ru-RU"/>
        </w:rPr>
        <w:t xml:space="preserve"> “право собственности и другие вещные права” этот принцип воплощен в правиле о том, что права всех собственников защищаются равным образом, что внесло существенные изменения в ранее действовавшее законодательство, предусматривавшее повышенную защиту социалистических форм собственности.</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Принцип недопустимости произвольного вмешательства в частные дела. Содержащиеся в гражданском законодательстве нормы права выражают, в первую очередь, частные интересы участников гражданского оборота. В соответствии с этим в указанных нормах воплощен принцип недопустимости произвольного вмешательства в частные дела. Это означает, что органы государственной власти и местного самоуправления и любые иные лица не вправе вмешиваться в частные дела субъектов гражданского права, если они осуществляют свою деятельность в соответствии с требованиями законодательства. Так, органы государственной власти и местного самоуправления не вправе указывать гражданам и юридическим лицам, осуществляющим предпринимательскую деятельность, какие товары (работы, услуги) им производить, на каких условиях и по каким ценам их реализовывать.</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Статья 23 Конституции РФ предусматривает право каждого на неприкосновенность частной жизни, личную и семейную тайну. В п. 1 ст. 11 Закона “Об информации, информатизации и защите информации” содержится запрет на сбор, хранение, использование и распространение информации о частной жизни.</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Следует иметь в виду, что не допускается только произвольное вмешательство в частные дела. В тех случаях, когда частные интересы входят в противоречие с публичным интересом, гражданское законодательство допускает вмешательство в частные дела граждан и юридических лиц. В этих случаях в гражданское законодательство вкрапливаются публично-правовые элементы, без которых не может обойтись ни одно гражданское общество. Так, в соответствии с п. 1 ст. 49 ГК РФ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Принцип неприкосновенности собственности. Этот принцип закладывает основы имущественного порядка в экономике. В соответствии с этим принципом нормы гражданского права обеспечивают собственникам возможность стабильного осуществления правомочий по владению, пользованию и распоряжению принадлежащим им имуществом, без чего невозможно функционирование не только рыночной, но и, в принципе, любой экономики.</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Принцип свободы договора. Этот принцип предусматривает свободу усмотрения субъектов гражданского права как в выборе партнеров по договору, так и в выборе вида договора и условий, на которых он будет заключен. Закрепление этого принципа в гражданском праве означает отказ законодателя от понуждения к заключению договора на основе обязательных для сторон планово-административных актов. Это является чрезвычайно важным в условиях рыночной экономики, не допускающей административного вмешательства в гражданский оборот.</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lastRenderedPageBreak/>
        <w:t>Принцип свободного перемещения товаров, услуг и финансовых средств на всей территории Российской Федерации. Единый рынок не терпит каких-либо внутренних границ и барьеров. Поэтому ст. 8 Конституции РФ и п. 3 ст. 1 ГК РФ устанавливают, что товары, услуги и финансовые средства свободно перемещаются на всей территории Российской Федерации. В соответствии с указанным принципом субъекты Российской Федерации и другие лица не вправе устанавливать какие-либо местные правила, препятствующие свободному перемещению товаров, услуг и финансовых средств в едином экономическом пространстве Российской Федерации. На всей территории Российской Федерации должны быть одни и те же “правила игры” при осуществлении предпринимательской или иной деятельности, реализуемой в рамках гражданских правоотношений.</w:t>
      </w:r>
    </w:p>
    <w:p w:rsidR="00776A04" w:rsidRPr="00776A04" w:rsidRDefault="00776A04" w:rsidP="00BA15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6A04">
        <w:rPr>
          <w:rFonts w:ascii="Times New Roman" w:eastAsia="Times New Roman" w:hAnsi="Times New Roman" w:cs="Times New Roman"/>
          <w:sz w:val="24"/>
          <w:szCs w:val="24"/>
          <w:lang w:eastAsia="ru-RU"/>
        </w:rPr>
        <w:t>Ограничения перемещения товаров и услуг могут вводиться в соответствии с федеральным законом только в том случае, если это необходимо для обеспечения безопасности, защиты жизни и здоровья людей, охраны природы и культурных ценностей (ст. 74 Конституции РФ).</w:t>
      </w:r>
    </w:p>
    <w:p w:rsidR="00E61248" w:rsidRDefault="00E61248" w:rsidP="00E61248">
      <w:pPr>
        <w:spacing w:after="0"/>
        <w:jc w:val="right"/>
        <w:rPr>
          <w:rFonts w:ascii="Times New Roman" w:hAnsi="Times New Roman" w:cs="Times New Roman"/>
        </w:rPr>
      </w:pPr>
      <w:r>
        <w:rPr>
          <w:rFonts w:ascii="Times New Roman" w:hAnsi="Times New Roman" w:cs="Times New Roman"/>
        </w:rPr>
        <w:t>г. Сызрань</w:t>
      </w:r>
    </w:p>
    <w:p w:rsidR="00E61248" w:rsidRPr="00E61248" w:rsidRDefault="00E61248" w:rsidP="00E61248">
      <w:pPr>
        <w:spacing w:after="0"/>
        <w:jc w:val="right"/>
        <w:rPr>
          <w:rFonts w:ascii="Times New Roman" w:hAnsi="Times New Roman" w:cs="Times New Roman"/>
        </w:rPr>
      </w:pPr>
      <w:r>
        <w:rPr>
          <w:rFonts w:ascii="Times New Roman" w:hAnsi="Times New Roman" w:cs="Times New Roman"/>
        </w:rPr>
        <w:t>Самарская область</w:t>
      </w:r>
    </w:p>
    <w:p w:rsidR="00E61248" w:rsidRPr="00E61248" w:rsidRDefault="00E61248" w:rsidP="00E61248">
      <w:pPr>
        <w:spacing w:after="0"/>
        <w:jc w:val="right"/>
        <w:rPr>
          <w:rFonts w:ascii="Times New Roman" w:hAnsi="Times New Roman" w:cs="Times New Roman"/>
        </w:rPr>
      </w:pPr>
      <w:r w:rsidRPr="00E61248">
        <w:rPr>
          <w:rFonts w:ascii="Times New Roman" w:hAnsi="Times New Roman" w:cs="Times New Roman"/>
        </w:rPr>
        <w:t>ГБОУ СОШ №33</w:t>
      </w:r>
    </w:p>
    <w:p w:rsidR="00E61248" w:rsidRDefault="00E61248" w:rsidP="00E61248">
      <w:pPr>
        <w:spacing w:after="0"/>
        <w:jc w:val="right"/>
        <w:rPr>
          <w:rFonts w:ascii="Times New Roman" w:hAnsi="Times New Roman" w:cs="Times New Roman"/>
        </w:rPr>
      </w:pPr>
      <w:r w:rsidRPr="00E61248">
        <w:rPr>
          <w:rFonts w:ascii="Times New Roman" w:hAnsi="Times New Roman" w:cs="Times New Roman"/>
        </w:rPr>
        <w:t>КЛАСС 11 «А»</w:t>
      </w:r>
    </w:p>
    <w:p w:rsidR="00E61248" w:rsidRDefault="00E61248" w:rsidP="00E61248">
      <w:pPr>
        <w:spacing w:after="0"/>
        <w:jc w:val="right"/>
        <w:rPr>
          <w:rFonts w:ascii="Times New Roman" w:hAnsi="Times New Roman" w:cs="Times New Roman"/>
        </w:rPr>
      </w:pPr>
      <w:r w:rsidRPr="00E61248">
        <w:rPr>
          <w:rFonts w:ascii="Times New Roman" w:hAnsi="Times New Roman" w:cs="Times New Roman"/>
        </w:rPr>
        <w:t>Рябушева Алина В</w:t>
      </w:r>
      <w:r>
        <w:rPr>
          <w:rFonts w:ascii="Times New Roman" w:hAnsi="Times New Roman" w:cs="Times New Roman"/>
        </w:rPr>
        <w:t>икторовна</w:t>
      </w:r>
    </w:p>
    <w:p w:rsidR="00E61248" w:rsidRPr="00E61248" w:rsidRDefault="00E61248" w:rsidP="00E61248">
      <w:pPr>
        <w:spacing w:after="0"/>
        <w:jc w:val="right"/>
        <w:rPr>
          <w:rFonts w:ascii="Times New Roman" w:hAnsi="Times New Roman" w:cs="Times New Roman"/>
        </w:rPr>
      </w:pPr>
    </w:p>
    <w:sectPr w:rsidR="00E61248" w:rsidRPr="00E61248">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834" w:rsidRDefault="00606834" w:rsidP="00187214">
      <w:pPr>
        <w:spacing w:after="0" w:line="240" w:lineRule="auto"/>
      </w:pPr>
      <w:r>
        <w:separator/>
      </w:r>
    </w:p>
  </w:endnote>
  <w:endnote w:type="continuationSeparator" w:id="0">
    <w:p w:rsidR="00606834" w:rsidRDefault="00606834" w:rsidP="0018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959609"/>
      <w:docPartObj>
        <w:docPartGallery w:val="Page Numbers (Bottom of Page)"/>
        <w:docPartUnique/>
      </w:docPartObj>
    </w:sdtPr>
    <w:sdtEndPr/>
    <w:sdtContent>
      <w:p w:rsidR="00187214" w:rsidRDefault="00187214">
        <w:pPr>
          <w:pStyle w:val="a6"/>
          <w:jc w:val="right"/>
        </w:pPr>
        <w:r>
          <w:fldChar w:fldCharType="begin"/>
        </w:r>
        <w:r>
          <w:instrText>PAGE   \* MERGEFORMAT</w:instrText>
        </w:r>
        <w:r>
          <w:fldChar w:fldCharType="separate"/>
        </w:r>
        <w:r w:rsidR="00F7622B">
          <w:rPr>
            <w:noProof/>
          </w:rPr>
          <w:t>1</w:t>
        </w:r>
        <w:r>
          <w:fldChar w:fldCharType="end"/>
        </w:r>
      </w:p>
    </w:sdtContent>
  </w:sdt>
  <w:p w:rsidR="00187214" w:rsidRDefault="001872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834" w:rsidRDefault="00606834" w:rsidP="00187214">
      <w:pPr>
        <w:spacing w:after="0" w:line="240" w:lineRule="auto"/>
      </w:pPr>
      <w:r>
        <w:separator/>
      </w:r>
    </w:p>
  </w:footnote>
  <w:footnote w:type="continuationSeparator" w:id="0">
    <w:p w:rsidR="00606834" w:rsidRDefault="00606834" w:rsidP="00187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24"/>
    <w:rsid w:val="00187214"/>
    <w:rsid w:val="002B1A37"/>
    <w:rsid w:val="004E0BB6"/>
    <w:rsid w:val="00606834"/>
    <w:rsid w:val="00741C24"/>
    <w:rsid w:val="00776A04"/>
    <w:rsid w:val="00A1737B"/>
    <w:rsid w:val="00BA15FF"/>
    <w:rsid w:val="00E61248"/>
    <w:rsid w:val="00F3051A"/>
    <w:rsid w:val="00F76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1606"/>
  <w15:chartTrackingRefBased/>
  <w15:docId w15:val="{40803DEE-0FE6-4CFB-BE94-96F15CA3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76A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A0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7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872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7214"/>
  </w:style>
  <w:style w:type="paragraph" w:styleId="a6">
    <w:name w:val="footer"/>
    <w:basedOn w:val="a"/>
    <w:link w:val="a7"/>
    <w:uiPriority w:val="99"/>
    <w:unhideWhenUsed/>
    <w:rsid w:val="001872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7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26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2663</Words>
  <Characters>15181</Characters>
  <Application>Microsoft Office Word</Application>
  <DocSecurity>0</DocSecurity>
  <Lines>126</Lines>
  <Paragraphs>35</Paragraphs>
  <ScaleCrop>false</ScaleCrop>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Рябушева Ирина Анатольевна</dc:creator>
  <cp:keywords/>
  <dc:description/>
  <cp:lastModifiedBy>Рябушева Ирина Анатольевна</cp:lastModifiedBy>
  <cp:revision>8</cp:revision>
  <dcterms:created xsi:type="dcterms:W3CDTF">2022-05-05T11:27:00Z</dcterms:created>
  <dcterms:modified xsi:type="dcterms:W3CDTF">2022-05-06T05:53:00Z</dcterms:modified>
</cp:coreProperties>
</file>