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rPr>
          <w:b/>
          <w:bCs/>
        </w:rPr>
        <w:t>Воспитательные результаты и эффекты внеурочной деятельности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внеурочной деятельности. Воспитательные результаты внеурочной деятельности школьников распределяются по трём уровням: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Первый уровень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Второй уровень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в дружественной детской среде.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Третий уровень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Лаконичная формулировка трех уровней результатов внеурочной деятельности школьников: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1-й уровень – школьник знает и понимает общественную жизнь;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2-й уровень – школьник ценит общественную жизнь;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3-й уровень – школьник самостоятельно действует в общественной жизни.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- формирования коммуникативной, этической, социальной, гражданской компетентности школьников;</w:t>
      </w:r>
      <w:bookmarkStart w:id="0" w:name="_GoBack"/>
      <w:bookmarkEnd w:id="0"/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- формирования у детей социокультурной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культурной, гендерной и др.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В рамках внеурочной деятельности к 110-летию со дня рождения </w:t>
      </w:r>
      <w:proofErr w:type="spellStart"/>
      <w:r>
        <w:t>М.А.Шолохова</w:t>
      </w:r>
      <w:proofErr w:type="spellEnd"/>
      <w:r>
        <w:t xml:space="preserve"> в первом полугодии было проведено мероприятие в форме литературно-музыкальной гостиной “Казачьи посиделки”. Это интегрированное мероприятие: предметы – литература, музыка, внеурочная деятельность. Представлен опыт работы в региональном компоненте двух педагогов: учителя музыки и учителя литературы.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Цель мероприятия: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 Донского края. Без ложной скромности скажу, цель мы достигли. Коль это ФГОС, задачи, прежде всего, были нацелены на формирование УУД. Особенно личностного характера – приобщение к национальным традициям, изучение культуры казачества (фольклор: песни, пословицы) всё было представлено в многообразии. Особенное внимание было уделено гимну Ростовской области и войска Донского, как к одному из символов края, воспитание гордости за свою малую родину. </w:t>
      </w:r>
      <w:r>
        <w:rPr>
          <w:i/>
          <w:iCs/>
        </w:rPr>
        <w:t>Мы гордимся тем, что родились и живем здесь.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По исполнению гимна уч-ся была видна глубина проникновения в смысл слов, не случайно исполнение было </w:t>
      </w:r>
      <w:proofErr w:type="spellStart"/>
      <w:r>
        <w:t>акапельно</w:t>
      </w:r>
      <w:proofErr w:type="spellEnd"/>
      <w:r>
        <w:t xml:space="preserve">. Особый акцент сделан на совместное исполнение уч-ся и педагогов, ибо ничто так не влияет на воспитание, как личный пример педагога или любого взрослого человека. Возвращаясь к ФГОС, скажу, что особенно обращали внимание на </w:t>
      </w:r>
      <w:proofErr w:type="spellStart"/>
      <w:r>
        <w:t>деятельностную</w:t>
      </w:r>
      <w:proofErr w:type="spellEnd"/>
      <w:r>
        <w:t xml:space="preserve"> основу мероприятия, разнообразие форм: погружение в быт казаков – “Казачья горница”, приобщение к обычаям – сбор в поход казака, приготовление чая, расширение рамок общения – два педагога, тесное сотрудничество и уч-ся, и педагогов. 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Все этапы были оптимально наполнены содержанием, применены разнообразные методы воспитания. Каждый школьник участвовал в разной степени. Ни один не остался в стороне, причём, это воля уч-ся.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>Мероприятие прошло чётко, в темпе, школьники, несомненно, были активны, бодры, веселы, проявляли неподдельный интерес. Достаточно высокий эмоциональный настрой.</w:t>
      </w:r>
    </w:p>
    <w:p w:rsidR="00EF2E41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Рефлексия – обязательный нынче элемент и для уч-ся, и для педагогов, прошла быстро, лаконично, искренне. Уверена, никто не остался равнодушным, у всех в душе остался след от мероприятия. </w:t>
      </w:r>
    </w:p>
    <w:p w:rsidR="003053E4" w:rsidRDefault="00EF2E41" w:rsidP="00EF2E41">
      <w:pPr>
        <w:pStyle w:val="a3"/>
        <w:spacing w:before="0" w:beforeAutospacing="0" w:after="0" w:afterAutospacing="0"/>
        <w:ind w:left="-851" w:firstLine="567"/>
        <w:jc w:val="both"/>
      </w:pPr>
      <w:r>
        <w:t xml:space="preserve">В заключение, мне хотелось бы сказать, что внеурочная деятельность должна быть интересна учащимся, только тогда она может принести ощутимые положительные плоды. И потому важнейшая задача педагогов - сделать внеурочную деятельность полезной и привлекательной для каждого ученика. </w:t>
      </w:r>
    </w:p>
    <w:sectPr w:rsidR="003053E4" w:rsidSect="00EF2E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BA"/>
    <w:rsid w:val="003053E4"/>
    <w:rsid w:val="00AD4FBA"/>
    <w:rsid w:val="00E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78DE-F85E-4D7D-B227-FEDF826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2022-05-06T10:30:00Z</dcterms:created>
  <dcterms:modified xsi:type="dcterms:W3CDTF">2022-05-06T10:32:00Z</dcterms:modified>
</cp:coreProperties>
</file>