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C75" w:rsidRPr="00143685" w:rsidRDefault="00825C75" w:rsidP="00825C7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Системно-деятельностны</w:t>
      </w:r>
      <w:r w:rsidR="0014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2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и личностно-ориентированная технология как эффективны</w:t>
      </w:r>
      <w:r w:rsidR="0014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82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3685" w:rsidRPr="0082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инструментар</w:t>
      </w:r>
      <w:r w:rsidR="0014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82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обучении математики</w:t>
      </w:r>
    </w:p>
    <w:p w:rsidR="00825C75" w:rsidRPr="00143685" w:rsidRDefault="00825C75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75" w:rsidRDefault="00825C75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Аннотация.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представлен системно-деятельностны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личностно-ориентированная технология как эффективны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85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математики.</w:t>
      </w:r>
    </w:p>
    <w:p w:rsidR="00542D8F" w:rsidRDefault="00542D8F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8F" w:rsidRPr="00542D8F" w:rsidRDefault="00542D8F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2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Annotation.</w:t>
      </w:r>
      <w:r w:rsidRPr="00542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article presents the system-activity approach and personality-oriented technology as an effective tool in teaching mathematics.</w:t>
      </w:r>
    </w:p>
    <w:p w:rsidR="00825C75" w:rsidRPr="00542D8F" w:rsidRDefault="00825C75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5C75" w:rsidRDefault="00825C75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</w:t>
      </w:r>
      <w:r w:rsidR="00143685" w:rsidRPr="00542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3685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</w:t>
      </w:r>
      <w:r w:rsidR="00674EF9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r w:rsidR="00143685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математика, образование, учеба.</w:t>
      </w:r>
    </w:p>
    <w:p w:rsidR="00542D8F" w:rsidRDefault="00542D8F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8F" w:rsidRPr="00542D8F" w:rsidRDefault="00542D8F" w:rsidP="00825C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2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Keywords:</w:t>
      </w:r>
      <w:r w:rsidRPr="00542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system-activity approach, mathematics, education, study.</w:t>
      </w:r>
    </w:p>
    <w:p w:rsidR="00825C75" w:rsidRPr="00542D8F" w:rsidRDefault="00825C75" w:rsidP="00674E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5C75" w:rsidRPr="00143685" w:rsidRDefault="00177FD6" w:rsidP="00177F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колоссальные 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обществе и экономике требуют, чтобы человек быстро адаптировался к новым условиям, находил оптимальные решения сложных проблем, проявлял гибкость и креативность, не терялся в ситуации неопределенности, налаживал эффективную связь с разными людьми</w:t>
      </w:r>
      <w:r w:rsidR="00825C75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остава</w:t>
      </w:r>
      <w:r w:rsidR="0083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="00825C75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нравственным.</w:t>
      </w:r>
    </w:p>
    <w:p w:rsidR="00143685" w:rsidRPr="00143685" w:rsidRDefault="00143685" w:rsidP="001436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r w:rsidR="00674EF9"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обеспечивает</w:t>
      </w:r>
      <w:r w:rsidR="0067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1436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7FD6" w:rsidRPr="00177FD6" w:rsidRDefault="00177FD6" w:rsidP="00177F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подготовке к личностному развитию и повышению </w:t>
      </w:r>
      <w:r w:rsidR="004D2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</w:t>
      </w:r>
      <w:r w:rsidR="004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FD6" w:rsidRPr="00177FD6" w:rsidRDefault="00177FD6" w:rsidP="00177F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и построение социальной среды для развития </w:t>
      </w:r>
      <w:r w:rsidR="00D4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образования;</w:t>
      </w:r>
    </w:p>
    <w:p w:rsidR="00177FD6" w:rsidRPr="00177FD6" w:rsidRDefault="00177FD6" w:rsidP="00177F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FD6" w:rsidRDefault="00177FD6" w:rsidP="00177F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учебного процесса с учетом индивидуального возраста, психологических и физиологических особенностей </w:t>
      </w:r>
      <w:r w:rsidR="009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B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177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FD6" w:rsidRDefault="00177FD6" w:rsidP="00177F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Умение учиться всю жизнь</w:t>
      </w:r>
      <w:r w:rsidRPr="00177FD6">
        <w:rPr>
          <w:rFonts w:ascii="Times New Roman" w:hAnsi="Times New Roman" w:cs="Times New Roman"/>
          <w:sz w:val="28"/>
          <w:szCs w:val="28"/>
        </w:rPr>
        <w:t xml:space="preserve"> </w:t>
      </w:r>
      <w:r w:rsidR="00886744">
        <w:rPr>
          <w:rFonts w:ascii="Times New Roman" w:hAnsi="Times New Roman" w:cs="Times New Roman"/>
          <w:sz w:val="28"/>
          <w:szCs w:val="28"/>
        </w:rPr>
        <w:t xml:space="preserve">способность которая </w:t>
      </w:r>
      <w:r w:rsidRPr="00177FD6">
        <w:rPr>
          <w:rFonts w:ascii="Times New Roman" w:hAnsi="Times New Roman" w:cs="Times New Roman"/>
          <w:sz w:val="28"/>
          <w:szCs w:val="28"/>
        </w:rPr>
        <w:t>актуальна для</w:t>
      </w:r>
      <w:r w:rsidR="00DB5821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177FD6">
        <w:rPr>
          <w:rFonts w:ascii="Times New Roman" w:hAnsi="Times New Roman" w:cs="Times New Roman"/>
          <w:sz w:val="28"/>
          <w:szCs w:val="28"/>
        </w:rPr>
        <w:t xml:space="preserve">и обеспечивается преднамеренным формированием </w:t>
      </w:r>
      <w:r w:rsidR="007D7EF1">
        <w:rPr>
          <w:rFonts w:ascii="Times New Roman" w:hAnsi="Times New Roman" w:cs="Times New Roman"/>
          <w:sz w:val="28"/>
          <w:szCs w:val="28"/>
        </w:rPr>
        <w:t>способности</w:t>
      </w:r>
      <w:r w:rsidR="00C17E85">
        <w:rPr>
          <w:rFonts w:ascii="Times New Roman" w:hAnsi="Times New Roman" w:cs="Times New Roman"/>
          <w:sz w:val="28"/>
          <w:szCs w:val="28"/>
        </w:rPr>
        <w:t xml:space="preserve"> к универсальным</w:t>
      </w:r>
      <w:r w:rsidRPr="00177FD6">
        <w:rPr>
          <w:rFonts w:ascii="Times New Roman" w:hAnsi="Times New Roman" w:cs="Times New Roman"/>
          <w:sz w:val="28"/>
          <w:szCs w:val="28"/>
        </w:rPr>
        <w:t xml:space="preserve"> </w:t>
      </w:r>
      <w:r w:rsidR="00C17E85">
        <w:rPr>
          <w:rFonts w:ascii="Times New Roman" w:hAnsi="Times New Roman" w:cs="Times New Roman"/>
          <w:sz w:val="28"/>
          <w:szCs w:val="28"/>
        </w:rPr>
        <w:t>воспитательным</w:t>
      </w:r>
      <w:r w:rsidR="00092A06">
        <w:rPr>
          <w:rFonts w:ascii="Times New Roman" w:hAnsi="Times New Roman" w:cs="Times New Roman"/>
          <w:sz w:val="28"/>
          <w:szCs w:val="28"/>
        </w:rPr>
        <w:t xml:space="preserve"> и учебны</w:t>
      </w:r>
      <w:r w:rsidR="00C17E85">
        <w:rPr>
          <w:rFonts w:ascii="Times New Roman" w:hAnsi="Times New Roman" w:cs="Times New Roman"/>
          <w:sz w:val="28"/>
          <w:szCs w:val="28"/>
        </w:rPr>
        <w:t>м действиям</w:t>
      </w:r>
      <w:r w:rsidRPr="00177FD6">
        <w:rPr>
          <w:rFonts w:ascii="Times New Roman" w:hAnsi="Times New Roman" w:cs="Times New Roman"/>
          <w:sz w:val="28"/>
          <w:szCs w:val="28"/>
        </w:rPr>
        <w:t xml:space="preserve">. Необходимость целенаправленной подготовки </w:t>
      </w:r>
      <w:r w:rsidRPr="00177FD6">
        <w:rPr>
          <w:rFonts w:ascii="Times New Roman" w:hAnsi="Times New Roman" w:cs="Times New Roman"/>
          <w:sz w:val="28"/>
          <w:szCs w:val="28"/>
        </w:rPr>
        <w:lastRenderedPageBreak/>
        <w:t>универсальных образовательных мероприятий, как правило, закреплена в</w:t>
      </w:r>
      <w:r w:rsidR="00474937">
        <w:rPr>
          <w:rFonts w:ascii="Times New Roman" w:hAnsi="Times New Roman" w:cs="Times New Roman"/>
          <w:sz w:val="28"/>
          <w:szCs w:val="28"/>
        </w:rPr>
        <w:t xml:space="preserve"> ф</w:t>
      </w:r>
      <w:r w:rsidRPr="00143685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 общего образования</w:t>
      </w:r>
      <w:r w:rsidRPr="00177FD6">
        <w:rPr>
          <w:rFonts w:ascii="Times New Roman" w:hAnsi="Times New Roman" w:cs="Times New Roman"/>
          <w:sz w:val="28"/>
          <w:szCs w:val="28"/>
        </w:rPr>
        <w:t>. В связи с этим</w:t>
      </w:r>
      <w:r w:rsidR="006C79C7">
        <w:rPr>
          <w:rFonts w:ascii="Times New Roman" w:hAnsi="Times New Roman" w:cs="Times New Roman"/>
          <w:sz w:val="28"/>
          <w:szCs w:val="28"/>
        </w:rPr>
        <w:t>,</w:t>
      </w:r>
      <w:r w:rsidRPr="00177FD6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C79C7">
        <w:rPr>
          <w:rFonts w:ascii="Times New Roman" w:hAnsi="Times New Roman" w:cs="Times New Roman"/>
          <w:sz w:val="28"/>
          <w:szCs w:val="28"/>
        </w:rPr>
        <w:t xml:space="preserve"> к</w:t>
      </w:r>
      <w:r w:rsidRPr="00177FD6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1E1089">
        <w:rPr>
          <w:rFonts w:ascii="Times New Roman" w:hAnsi="Times New Roman" w:cs="Times New Roman"/>
          <w:sz w:val="28"/>
          <w:szCs w:val="28"/>
        </w:rPr>
        <w:t xml:space="preserve">приходит к необходимости </w:t>
      </w:r>
      <w:r w:rsidR="002B0126">
        <w:rPr>
          <w:rFonts w:ascii="Times New Roman" w:hAnsi="Times New Roman" w:cs="Times New Roman"/>
          <w:sz w:val="28"/>
          <w:szCs w:val="28"/>
        </w:rPr>
        <w:t>применения стандарта</w:t>
      </w:r>
      <w:r w:rsidRPr="00177FD6">
        <w:rPr>
          <w:rFonts w:ascii="Times New Roman" w:hAnsi="Times New Roman" w:cs="Times New Roman"/>
          <w:sz w:val="28"/>
          <w:szCs w:val="28"/>
        </w:rPr>
        <w:t>, должен внести существенные изменения в свою</w:t>
      </w:r>
      <w:r w:rsidR="002B0126">
        <w:rPr>
          <w:rFonts w:ascii="Times New Roman" w:hAnsi="Times New Roman" w:cs="Times New Roman"/>
          <w:sz w:val="28"/>
          <w:szCs w:val="28"/>
        </w:rPr>
        <w:t xml:space="preserve"> преподавательскую </w:t>
      </w:r>
      <w:r w:rsidRPr="00177FD6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822C2" w:rsidRPr="00143685" w:rsidRDefault="00177FD6" w:rsidP="00177F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D6">
        <w:rPr>
          <w:rFonts w:ascii="Times New Roman" w:hAnsi="Times New Roman" w:cs="Times New Roman"/>
          <w:sz w:val="28"/>
          <w:szCs w:val="28"/>
        </w:rPr>
        <w:t xml:space="preserve">Достижение нового образовательного результата возможно при внедрении системно-деятельностного подхода, который является основой стандарта. Анализ методологических материалов на федеральном уровне, сопровождающих процесс внедрения стандарта, позволяет выявить характеристики системного подхода. Подход </w:t>
      </w:r>
      <w:r w:rsidR="00EC0B2E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073BB9">
        <w:rPr>
          <w:rFonts w:ascii="Times New Roman" w:hAnsi="Times New Roman" w:cs="Times New Roman"/>
          <w:sz w:val="28"/>
          <w:szCs w:val="28"/>
        </w:rPr>
        <w:t>деятельн</w:t>
      </w:r>
      <w:r w:rsidRPr="00177FD6">
        <w:rPr>
          <w:rFonts w:ascii="Times New Roman" w:hAnsi="Times New Roman" w:cs="Times New Roman"/>
          <w:sz w:val="28"/>
          <w:szCs w:val="28"/>
        </w:rPr>
        <w:t>ости определяет необходимость представления нового материала путем развертывания последовательности учебных мероприятий, моделирования изучаемых процессов, использования различных источников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685" w:rsidRPr="00143685">
        <w:rPr>
          <w:rFonts w:ascii="Times New Roman" w:hAnsi="Times New Roman" w:cs="Times New Roman"/>
          <w:sz w:val="28"/>
          <w:szCs w:val="28"/>
        </w:rPr>
        <w:t>в том числе информационного пространства сети Интернет, предполагает организацию учебного сотрудничества</w:t>
      </w:r>
      <w:r w:rsidR="00354C2B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="00F40278">
        <w:rPr>
          <w:rFonts w:ascii="Times New Roman" w:hAnsi="Times New Roman" w:cs="Times New Roman"/>
          <w:sz w:val="28"/>
          <w:szCs w:val="28"/>
        </w:rPr>
        <w:t>учителя</w:t>
      </w:r>
      <w:r w:rsidR="00354C2B">
        <w:rPr>
          <w:rFonts w:ascii="Times New Roman" w:hAnsi="Times New Roman" w:cs="Times New Roman"/>
          <w:sz w:val="28"/>
          <w:szCs w:val="28"/>
        </w:rPr>
        <w:t xml:space="preserve"> на </w:t>
      </w:r>
      <w:r w:rsidR="00143685" w:rsidRPr="0014368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54C2B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="001A4BC7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143685" w:rsidRPr="00143685">
        <w:rPr>
          <w:rFonts w:ascii="Times New Roman" w:hAnsi="Times New Roman" w:cs="Times New Roman"/>
          <w:sz w:val="28"/>
          <w:szCs w:val="28"/>
        </w:rPr>
        <w:t>(учитель – ученик, ученик-ученик, ученик-группа).</w:t>
      </w:r>
    </w:p>
    <w:p w:rsidR="00177FD6" w:rsidRDefault="00177FD6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D6">
        <w:rPr>
          <w:rFonts w:ascii="Times New Roman" w:hAnsi="Times New Roman" w:cs="Times New Roman"/>
          <w:sz w:val="28"/>
          <w:szCs w:val="28"/>
        </w:rPr>
        <w:t xml:space="preserve">Базовый технологический уровень метода </w:t>
      </w:r>
      <w:r w:rsidR="005509EC">
        <w:rPr>
          <w:rFonts w:ascii="Times New Roman" w:hAnsi="Times New Roman" w:cs="Times New Roman"/>
          <w:sz w:val="28"/>
          <w:szCs w:val="28"/>
        </w:rPr>
        <w:t>систе</w:t>
      </w:r>
      <w:r w:rsidR="00572E0C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177FD6">
        <w:rPr>
          <w:rFonts w:ascii="Times New Roman" w:hAnsi="Times New Roman" w:cs="Times New Roman"/>
          <w:sz w:val="28"/>
          <w:szCs w:val="28"/>
        </w:rPr>
        <w:t xml:space="preserve">деятельности не только позволяет значительно улучшить качество получения знаний по всем предметам, способствует развитию мышления и когнитивных навыков </w:t>
      </w:r>
      <w:r w:rsidR="00572E0C">
        <w:rPr>
          <w:rFonts w:ascii="Times New Roman" w:hAnsi="Times New Roman" w:cs="Times New Roman"/>
          <w:sz w:val="28"/>
          <w:szCs w:val="28"/>
        </w:rPr>
        <w:t>обуч</w:t>
      </w:r>
      <w:r w:rsidRPr="00177FD6">
        <w:rPr>
          <w:rFonts w:ascii="Times New Roman" w:hAnsi="Times New Roman" w:cs="Times New Roman"/>
          <w:sz w:val="28"/>
          <w:szCs w:val="28"/>
        </w:rPr>
        <w:t>а</w:t>
      </w:r>
      <w:r w:rsidR="00572E0C">
        <w:rPr>
          <w:rFonts w:ascii="Times New Roman" w:hAnsi="Times New Roman" w:cs="Times New Roman"/>
          <w:sz w:val="28"/>
          <w:szCs w:val="28"/>
        </w:rPr>
        <w:t>ю</w:t>
      </w:r>
      <w:r w:rsidRPr="00177FD6">
        <w:rPr>
          <w:rFonts w:ascii="Times New Roman" w:hAnsi="Times New Roman" w:cs="Times New Roman"/>
          <w:sz w:val="28"/>
          <w:szCs w:val="28"/>
        </w:rPr>
        <w:t xml:space="preserve">щихся, но и является шагом на пути к </w:t>
      </w:r>
      <w:r w:rsidR="0007130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FE6D81">
        <w:rPr>
          <w:rFonts w:ascii="Times New Roman" w:hAnsi="Times New Roman" w:cs="Times New Roman"/>
          <w:sz w:val="28"/>
          <w:szCs w:val="28"/>
        </w:rPr>
        <w:t>высоко-технологического</w:t>
      </w:r>
      <w:r w:rsidRPr="00177FD6">
        <w:rPr>
          <w:rFonts w:ascii="Times New Roman" w:hAnsi="Times New Roman" w:cs="Times New Roman"/>
          <w:sz w:val="28"/>
          <w:szCs w:val="28"/>
        </w:rPr>
        <w:t xml:space="preserve"> </w:t>
      </w:r>
      <w:r w:rsidR="00FE6D81">
        <w:rPr>
          <w:rFonts w:ascii="Times New Roman" w:hAnsi="Times New Roman" w:cs="Times New Roman"/>
          <w:sz w:val="28"/>
          <w:szCs w:val="28"/>
        </w:rPr>
        <w:t>уровня,</w:t>
      </w:r>
      <w:r w:rsidRPr="00177FD6">
        <w:rPr>
          <w:rFonts w:ascii="Times New Roman" w:hAnsi="Times New Roman" w:cs="Times New Roman"/>
          <w:sz w:val="28"/>
          <w:szCs w:val="28"/>
        </w:rPr>
        <w:t xml:space="preserve"> который открывает новые возможности в </w:t>
      </w:r>
      <w:r w:rsidR="00542D8F">
        <w:rPr>
          <w:rFonts w:ascii="Times New Roman" w:hAnsi="Times New Roman" w:cs="Times New Roman"/>
          <w:sz w:val="28"/>
          <w:szCs w:val="28"/>
        </w:rPr>
        <w:t>организации</w:t>
      </w:r>
      <w:r w:rsidRPr="00177FD6">
        <w:rPr>
          <w:rFonts w:ascii="Times New Roman" w:hAnsi="Times New Roman" w:cs="Times New Roman"/>
          <w:sz w:val="28"/>
          <w:szCs w:val="28"/>
        </w:rPr>
        <w:t xml:space="preserve"> учебного процесса и </w:t>
      </w:r>
      <w:r w:rsidR="00950A91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177FD6">
        <w:rPr>
          <w:rFonts w:ascii="Times New Roman" w:hAnsi="Times New Roman" w:cs="Times New Roman"/>
          <w:sz w:val="28"/>
          <w:szCs w:val="28"/>
        </w:rPr>
        <w:t>качественные результаты.</w:t>
      </w:r>
    </w:p>
    <w:p w:rsidR="00542D8F" w:rsidRDefault="00542D8F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Системно-деятельностны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542D8F">
        <w:rPr>
          <w:rFonts w:ascii="Times New Roman" w:hAnsi="Times New Roman" w:cs="Times New Roman"/>
          <w:sz w:val="28"/>
          <w:szCs w:val="28"/>
        </w:rPr>
        <w:t xml:space="preserve">позволяет выделить основные результаты обучения и воспитания в контексте ключевых задач и универсальных образовательных действий, которыми должны обладать </w:t>
      </w:r>
      <w:r w:rsidR="000F3356">
        <w:rPr>
          <w:rFonts w:ascii="Times New Roman" w:hAnsi="Times New Roman" w:cs="Times New Roman"/>
          <w:sz w:val="28"/>
          <w:szCs w:val="28"/>
        </w:rPr>
        <w:t>обучающи</w:t>
      </w:r>
      <w:r w:rsidR="00FA5198">
        <w:rPr>
          <w:rFonts w:ascii="Times New Roman" w:hAnsi="Times New Roman" w:cs="Times New Roman"/>
          <w:sz w:val="28"/>
          <w:szCs w:val="28"/>
        </w:rPr>
        <w:t>е</w:t>
      </w:r>
      <w:r w:rsidR="000F3356">
        <w:rPr>
          <w:rFonts w:ascii="Times New Roman" w:hAnsi="Times New Roman" w:cs="Times New Roman"/>
          <w:sz w:val="28"/>
          <w:szCs w:val="28"/>
        </w:rPr>
        <w:t>ся</w:t>
      </w:r>
      <w:r w:rsidRPr="00542D8F">
        <w:rPr>
          <w:rFonts w:ascii="Times New Roman" w:hAnsi="Times New Roman" w:cs="Times New Roman"/>
          <w:sz w:val="28"/>
          <w:szCs w:val="28"/>
        </w:rPr>
        <w:t>. Это то, что создает возможность успешно</w:t>
      </w:r>
      <w:r w:rsidR="00264027">
        <w:rPr>
          <w:rFonts w:ascii="Times New Roman" w:hAnsi="Times New Roman" w:cs="Times New Roman"/>
          <w:sz w:val="28"/>
          <w:szCs w:val="28"/>
        </w:rPr>
        <w:t xml:space="preserve"> с</w:t>
      </w:r>
      <w:r w:rsidRPr="00542D8F">
        <w:rPr>
          <w:rFonts w:ascii="Times New Roman" w:hAnsi="Times New Roman" w:cs="Times New Roman"/>
          <w:sz w:val="28"/>
          <w:szCs w:val="28"/>
        </w:rPr>
        <w:t>амостоятельно</w:t>
      </w:r>
      <w:r w:rsidR="00E070A5">
        <w:rPr>
          <w:rFonts w:ascii="Times New Roman" w:hAnsi="Times New Roman" w:cs="Times New Roman"/>
          <w:sz w:val="28"/>
          <w:szCs w:val="28"/>
        </w:rPr>
        <w:t xml:space="preserve"> удовлетворять</w:t>
      </w:r>
      <w:r w:rsidRPr="00542D8F">
        <w:rPr>
          <w:rFonts w:ascii="Times New Roman" w:hAnsi="Times New Roman" w:cs="Times New Roman"/>
          <w:sz w:val="28"/>
          <w:szCs w:val="28"/>
        </w:rPr>
        <w:t xml:space="preserve"> </w:t>
      </w:r>
      <w:r w:rsidR="00A73969">
        <w:rPr>
          <w:rFonts w:ascii="Times New Roman" w:hAnsi="Times New Roman" w:cs="Times New Roman"/>
          <w:sz w:val="28"/>
          <w:szCs w:val="28"/>
        </w:rPr>
        <w:t>потребности</w:t>
      </w:r>
      <w:r w:rsidR="00E070A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73969">
        <w:rPr>
          <w:rFonts w:ascii="Times New Roman" w:hAnsi="Times New Roman" w:cs="Times New Roman"/>
          <w:sz w:val="28"/>
          <w:szCs w:val="28"/>
        </w:rPr>
        <w:t xml:space="preserve"> </w:t>
      </w:r>
      <w:r w:rsidR="003D3005">
        <w:rPr>
          <w:rFonts w:ascii="Times New Roman" w:hAnsi="Times New Roman" w:cs="Times New Roman"/>
          <w:sz w:val="28"/>
          <w:szCs w:val="28"/>
        </w:rPr>
        <w:t>по</w:t>
      </w:r>
      <w:r w:rsidR="00A73969">
        <w:rPr>
          <w:rFonts w:ascii="Times New Roman" w:hAnsi="Times New Roman" w:cs="Times New Roman"/>
          <w:sz w:val="28"/>
          <w:szCs w:val="28"/>
        </w:rPr>
        <w:t xml:space="preserve"> усвоению</w:t>
      </w:r>
      <w:r w:rsidRPr="00542D8F">
        <w:rPr>
          <w:rFonts w:ascii="Times New Roman" w:hAnsi="Times New Roman" w:cs="Times New Roman"/>
          <w:sz w:val="28"/>
          <w:szCs w:val="28"/>
        </w:rPr>
        <w:t xml:space="preserve"> </w:t>
      </w:r>
      <w:r w:rsidR="005B3F2B">
        <w:rPr>
          <w:rFonts w:ascii="Times New Roman" w:hAnsi="Times New Roman" w:cs="Times New Roman"/>
          <w:sz w:val="28"/>
          <w:szCs w:val="28"/>
        </w:rPr>
        <w:t>и получению новых</w:t>
      </w:r>
      <w:r w:rsidRPr="00542D8F">
        <w:rPr>
          <w:rFonts w:ascii="Times New Roman" w:hAnsi="Times New Roman" w:cs="Times New Roman"/>
          <w:sz w:val="28"/>
          <w:szCs w:val="28"/>
        </w:rPr>
        <w:t xml:space="preserve"> знаний, навыков и компетенций, в том числе организации </w:t>
      </w:r>
      <w:r w:rsidR="00A854E2">
        <w:rPr>
          <w:rFonts w:ascii="Times New Roman" w:hAnsi="Times New Roman" w:cs="Times New Roman"/>
          <w:sz w:val="28"/>
          <w:szCs w:val="28"/>
        </w:rPr>
        <w:t>процесса</w:t>
      </w:r>
      <w:r w:rsidR="00534DD3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542D8F">
        <w:rPr>
          <w:rFonts w:ascii="Times New Roman" w:hAnsi="Times New Roman" w:cs="Times New Roman"/>
          <w:sz w:val="28"/>
          <w:szCs w:val="28"/>
        </w:rPr>
        <w:t xml:space="preserve"> или способности к обучению. Эта возможность гарантируется тем, что универсальные образовательные действия являются обобщенными действиями, которые генерируют широкую направленность </w:t>
      </w:r>
      <w:r w:rsidR="00AE422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42D8F">
        <w:rPr>
          <w:rFonts w:ascii="Times New Roman" w:hAnsi="Times New Roman" w:cs="Times New Roman"/>
          <w:sz w:val="28"/>
          <w:szCs w:val="28"/>
        </w:rPr>
        <w:t xml:space="preserve">в различных тематических областях знаний и мотивации к обучению </w:t>
      </w:r>
      <w:r>
        <w:rPr>
          <w:rFonts w:ascii="Times New Roman" w:hAnsi="Times New Roman" w:cs="Times New Roman"/>
          <w:sz w:val="28"/>
          <w:szCs w:val="28"/>
        </w:rPr>
        <w:t>[3].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lastRenderedPageBreak/>
        <w:t>Системно-деятельностны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подход в преподавании математики требует формирования практических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применения теории. Позиция учителя математики должна быть такова: к классу не с ответом, а с вопросом. Ученики должны уметь на уроке выделять, сравнивать, обобщать, оценивать</w:t>
      </w:r>
      <w:r w:rsidR="00AA25F2">
        <w:rPr>
          <w:rFonts w:ascii="Times New Roman" w:hAnsi="Times New Roman" w:cs="Times New Roman"/>
          <w:sz w:val="28"/>
          <w:szCs w:val="28"/>
        </w:rPr>
        <w:t>; о</w:t>
      </w:r>
      <w:r w:rsidR="0049360D">
        <w:rPr>
          <w:rFonts w:ascii="Times New Roman" w:hAnsi="Times New Roman" w:cs="Times New Roman"/>
          <w:sz w:val="28"/>
          <w:szCs w:val="28"/>
        </w:rPr>
        <w:t>перировать</w:t>
      </w:r>
      <w:r w:rsidRPr="00143685">
        <w:rPr>
          <w:rFonts w:ascii="Times New Roman" w:hAnsi="Times New Roman" w:cs="Times New Roman"/>
          <w:sz w:val="28"/>
          <w:szCs w:val="28"/>
        </w:rPr>
        <w:t xml:space="preserve"> математиче</w:t>
      </w:r>
      <w:r w:rsidR="0066250E">
        <w:rPr>
          <w:rFonts w:ascii="Times New Roman" w:hAnsi="Times New Roman" w:cs="Times New Roman"/>
          <w:sz w:val="28"/>
          <w:szCs w:val="28"/>
        </w:rPr>
        <w:t>с</w:t>
      </w:r>
      <w:r w:rsidRPr="00143685">
        <w:rPr>
          <w:rFonts w:ascii="Times New Roman" w:hAnsi="Times New Roman" w:cs="Times New Roman"/>
          <w:sz w:val="28"/>
          <w:szCs w:val="28"/>
        </w:rPr>
        <w:t xml:space="preserve">кими понятиями, создавать математические модели, т.е. владеть теми универсальными </w:t>
      </w:r>
      <w:r w:rsidR="00AA25F2">
        <w:rPr>
          <w:rFonts w:ascii="Times New Roman" w:hAnsi="Times New Roman" w:cs="Times New Roman"/>
          <w:sz w:val="28"/>
          <w:szCs w:val="28"/>
        </w:rPr>
        <w:t>действиям</w:t>
      </w:r>
      <w:r w:rsidRPr="00143685">
        <w:rPr>
          <w:rFonts w:ascii="Times New Roman" w:hAnsi="Times New Roman" w:cs="Times New Roman"/>
          <w:sz w:val="28"/>
          <w:szCs w:val="28"/>
        </w:rPr>
        <w:t>и, которые им пригодятся на практике.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Основными принципами построения школьного курса математики на основе системно - деятельностного подхода должны стать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3685">
        <w:rPr>
          <w:rFonts w:ascii="Times New Roman" w:hAnsi="Times New Roman" w:cs="Times New Roman"/>
          <w:sz w:val="28"/>
          <w:szCs w:val="28"/>
        </w:rPr>
        <w:t>]: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3685">
        <w:rPr>
          <w:rFonts w:ascii="Times New Roman" w:hAnsi="Times New Roman" w:cs="Times New Roman"/>
          <w:sz w:val="28"/>
          <w:szCs w:val="28"/>
        </w:rPr>
        <w:t>принцип системного построения курса математики;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3685">
        <w:rPr>
          <w:rFonts w:ascii="Times New Roman" w:hAnsi="Times New Roman" w:cs="Times New Roman"/>
          <w:sz w:val="28"/>
          <w:szCs w:val="28"/>
        </w:rPr>
        <w:t>принцип описания курса математики в единстве общего, особенного и единичного;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43685">
        <w:rPr>
          <w:rFonts w:ascii="Times New Roman" w:hAnsi="Times New Roman" w:cs="Times New Roman"/>
          <w:sz w:val="28"/>
          <w:szCs w:val="28"/>
        </w:rPr>
        <w:t>принцип оптимального сочетания фундаментальности и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направленности обучения курсу математика;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3685">
        <w:rPr>
          <w:rFonts w:ascii="Times New Roman" w:hAnsi="Times New Roman" w:cs="Times New Roman"/>
          <w:sz w:val="28"/>
          <w:szCs w:val="28"/>
        </w:rPr>
        <w:t>принцип предметно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деятельности при изучении курса математики;</w:t>
      </w:r>
    </w:p>
    <w:p w:rsidR="00542D8F" w:rsidRPr="00143685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3685">
        <w:rPr>
          <w:rFonts w:ascii="Times New Roman" w:hAnsi="Times New Roman" w:cs="Times New Roman"/>
          <w:sz w:val="28"/>
          <w:szCs w:val="28"/>
        </w:rPr>
        <w:t>принцип развивающего обучения.</w:t>
      </w:r>
    </w:p>
    <w:p w:rsid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Рассмотрим алгоритм конструирования урока математики в рамках системно-деятельностного подхода</w:t>
      </w:r>
      <w:r w:rsidR="00542D8F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143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D8F" w:rsidRPr="00143685" w:rsidRDefault="00542D8F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11294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42D8F" w:rsidRDefault="00542D8F" w:rsidP="00542D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А</w:t>
      </w:r>
      <w:r w:rsidRPr="00143685">
        <w:rPr>
          <w:rFonts w:ascii="Times New Roman" w:hAnsi="Times New Roman" w:cs="Times New Roman"/>
          <w:sz w:val="28"/>
          <w:szCs w:val="28"/>
        </w:rPr>
        <w:t>лгоритм конструирования урока математики в рамках системно-деятельностного подхода</w:t>
      </w:r>
    </w:p>
    <w:p w:rsidR="00542D8F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Личностно-ориентированны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подход предусматривает пристальное внимание к таким составляющим учебного процесса как содержание </w:t>
      </w:r>
      <w:r w:rsidRPr="00143685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</w:t>
      </w:r>
      <w:r w:rsidR="00CC48D9">
        <w:rPr>
          <w:rFonts w:ascii="Times New Roman" w:hAnsi="Times New Roman" w:cs="Times New Roman"/>
          <w:sz w:val="28"/>
          <w:szCs w:val="28"/>
        </w:rPr>
        <w:t>педагогическая и учебная</w:t>
      </w:r>
      <w:r w:rsidRPr="0014368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B1688">
        <w:rPr>
          <w:rFonts w:ascii="Times New Roman" w:hAnsi="Times New Roman" w:cs="Times New Roman"/>
          <w:sz w:val="28"/>
          <w:szCs w:val="28"/>
        </w:rPr>
        <w:t>а и м</w:t>
      </w:r>
      <w:r w:rsidRPr="00143685">
        <w:rPr>
          <w:rFonts w:ascii="Times New Roman" w:hAnsi="Times New Roman" w:cs="Times New Roman"/>
          <w:sz w:val="28"/>
          <w:szCs w:val="28"/>
        </w:rPr>
        <w:t>одель личностно-ориентированно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ситуации, </w:t>
      </w:r>
      <w:r w:rsidR="00E326CD">
        <w:rPr>
          <w:rFonts w:ascii="Times New Roman" w:hAnsi="Times New Roman" w:cs="Times New Roman"/>
          <w:sz w:val="28"/>
          <w:szCs w:val="28"/>
        </w:rPr>
        <w:t>выбор специальных</w:t>
      </w:r>
      <w:r w:rsidRPr="00143685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Pr="00143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D8F" w:rsidRPr="00542D8F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8F">
        <w:rPr>
          <w:rFonts w:ascii="Times New Roman" w:hAnsi="Times New Roman" w:cs="Times New Roman"/>
          <w:sz w:val="28"/>
          <w:szCs w:val="28"/>
        </w:rPr>
        <w:t xml:space="preserve">Вместо того, чтобы просто передавать знания, навыки и умения от учителя к ученику, основная цель школьного образования состоит в том, чтобы развить способность </w:t>
      </w:r>
      <w:r w:rsidR="004D1BE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42D8F">
        <w:rPr>
          <w:rFonts w:ascii="Times New Roman" w:hAnsi="Times New Roman" w:cs="Times New Roman"/>
          <w:sz w:val="28"/>
          <w:szCs w:val="28"/>
        </w:rPr>
        <w:t>самостоятельно ставить цели в области образования, разрабатывать способы их реализации, контролировать и оценивать</w:t>
      </w:r>
      <w:r w:rsidR="004D1BE1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542D8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D1BE1">
        <w:rPr>
          <w:rFonts w:ascii="Times New Roman" w:hAnsi="Times New Roman" w:cs="Times New Roman"/>
          <w:sz w:val="28"/>
          <w:szCs w:val="28"/>
        </w:rPr>
        <w:t xml:space="preserve"> и </w:t>
      </w:r>
      <w:r w:rsidR="00DD5AE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42D8F">
        <w:rPr>
          <w:rFonts w:ascii="Times New Roman" w:hAnsi="Times New Roman" w:cs="Times New Roman"/>
          <w:sz w:val="28"/>
          <w:szCs w:val="28"/>
        </w:rPr>
        <w:t>других</w:t>
      </w:r>
      <w:r w:rsidR="00DD5AE1">
        <w:rPr>
          <w:rFonts w:ascii="Times New Roman" w:hAnsi="Times New Roman" w:cs="Times New Roman"/>
          <w:sz w:val="28"/>
          <w:szCs w:val="28"/>
        </w:rPr>
        <w:t xml:space="preserve">, </w:t>
      </w:r>
      <w:r w:rsidR="00A52A96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270326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542D8F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280801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0D1F22">
        <w:rPr>
          <w:rFonts w:ascii="Times New Roman" w:hAnsi="Times New Roman" w:cs="Times New Roman"/>
          <w:sz w:val="28"/>
          <w:szCs w:val="28"/>
        </w:rPr>
        <w:t>ориентир на умении</w:t>
      </w:r>
      <w:r w:rsidRPr="00542D8F">
        <w:rPr>
          <w:rFonts w:ascii="Times New Roman" w:hAnsi="Times New Roman" w:cs="Times New Roman"/>
          <w:sz w:val="28"/>
          <w:szCs w:val="28"/>
        </w:rPr>
        <w:t xml:space="preserve"> учиться.</w:t>
      </w:r>
    </w:p>
    <w:p w:rsidR="00542D8F" w:rsidRDefault="00542D8F" w:rsidP="00542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8F">
        <w:rPr>
          <w:rFonts w:ascii="Times New Roman" w:hAnsi="Times New Roman" w:cs="Times New Roman"/>
          <w:sz w:val="28"/>
          <w:szCs w:val="28"/>
        </w:rPr>
        <w:t>Поэтому учителя должны овладеть педагогическими технологиями, с помощью которых могут быть реализованы новые требования.</w:t>
      </w:r>
    </w:p>
    <w:p w:rsidR="00542D8F" w:rsidRDefault="00542D8F" w:rsidP="00542D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85" w:rsidRPr="00542D8F" w:rsidRDefault="00143685" w:rsidP="001436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D8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43685" w:rsidRDefault="00143685" w:rsidP="00143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85" w:rsidRDefault="00143685" w:rsidP="0014368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Склярова Ю. Н. Современные образовательные технологии личностно-ориентированного подхода в образовании / Ю.Н. Склярова // Актуальные вопросы современно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педагогики. – 2017. – № 3. – С. 33-36.</w:t>
      </w:r>
    </w:p>
    <w:p w:rsidR="00143685" w:rsidRDefault="00143685" w:rsidP="0014368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Шмалько Н.В. Технологии реализации системно – деятельностного подхода в обучении математике / Н.В. Шмалько // Педагогические науки. – 2017. – № 5. – С. 123-139.</w:t>
      </w:r>
    </w:p>
    <w:p w:rsidR="00143685" w:rsidRPr="00143685" w:rsidRDefault="00143685" w:rsidP="0014368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t>Шуме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>ко О. Н. Реализация системно-деятельностного подхода в процессе обучения / О.Н. Шуме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>ко // Актуальные вопросы современно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685">
        <w:rPr>
          <w:rFonts w:ascii="Times New Roman" w:hAnsi="Times New Roman" w:cs="Times New Roman"/>
          <w:sz w:val="28"/>
          <w:szCs w:val="28"/>
        </w:rPr>
        <w:t xml:space="preserve"> педагогики. – 2017. – № 16. – С. 18-25. </w:t>
      </w:r>
    </w:p>
    <w:p w:rsid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5" w:rsidRP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5" w:rsidRP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85">
        <w:rPr>
          <w:rFonts w:ascii="Times New Roman" w:hAnsi="Times New Roman" w:cs="Times New Roman"/>
          <w:sz w:val="28"/>
          <w:szCs w:val="28"/>
        </w:rPr>
        <w:br/>
      </w:r>
    </w:p>
    <w:p w:rsidR="00143685" w:rsidRP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85" w:rsidRPr="00143685" w:rsidRDefault="00143685" w:rsidP="00143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3685" w:rsidRPr="00143685" w:rsidSect="00542D8F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82C" w:rsidRDefault="00EC282C" w:rsidP="00542D8F">
      <w:r>
        <w:separator/>
      </w:r>
    </w:p>
  </w:endnote>
  <w:endnote w:type="continuationSeparator" w:id="0">
    <w:p w:rsidR="00EC282C" w:rsidRDefault="00EC282C" w:rsidP="005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Основной текст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0232864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42D8F" w:rsidRDefault="00542D8F" w:rsidP="00542D8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42D8F" w:rsidRDefault="00542D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76410866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</w:rPr>
    </w:sdtEndPr>
    <w:sdtContent>
      <w:p w:rsidR="00542D8F" w:rsidRPr="00542D8F" w:rsidRDefault="00542D8F" w:rsidP="00542D8F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542D8F">
          <w:rPr>
            <w:rStyle w:val="a8"/>
            <w:rFonts w:ascii="Times New Roman" w:hAnsi="Times New Roman" w:cs="Times New Roman"/>
          </w:rPr>
          <w:fldChar w:fldCharType="begin"/>
        </w:r>
        <w:r w:rsidRPr="00542D8F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542D8F">
          <w:rPr>
            <w:rStyle w:val="a8"/>
            <w:rFonts w:ascii="Times New Roman" w:hAnsi="Times New Roman" w:cs="Times New Roman"/>
          </w:rPr>
          <w:fldChar w:fldCharType="separate"/>
        </w:r>
        <w:r w:rsidRPr="00542D8F">
          <w:rPr>
            <w:rStyle w:val="a8"/>
            <w:rFonts w:ascii="Times New Roman" w:hAnsi="Times New Roman" w:cs="Times New Roman"/>
            <w:noProof/>
          </w:rPr>
          <w:t>2</w:t>
        </w:r>
        <w:r w:rsidRPr="00542D8F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542D8F" w:rsidRDefault="00542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82C" w:rsidRDefault="00EC282C" w:rsidP="00542D8F">
      <w:r>
        <w:separator/>
      </w:r>
    </w:p>
  </w:footnote>
  <w:footnote w:type="continuationSeparator" w:id="0">
    <w:p w:rsidR="00EC282C" w:rsidRDefault="00EC282C" w:rsidP="0054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A20"/>
    <w:multiLevelType w:val="hybridMultilevel"/>
    <w:tmpl w:val="54E6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1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5"/>
    <w:rsid w:val="00071309"/>
    <w:rsid w:val="00073BB9"/>
    <w:rsid w:val="00092A06"/>
    <w:rsid w:val="000D1F22"/>
    <w:rsid w:val="000F3356"/>
    <w:rsid w:val="00143685"/>
    <w:rsid w:val="001613F8"/>
    <w:rsid w:val="00177FD6"/>
    <w:rsid w:val="0019789A"/>
    <w:rsid w:val="001A4BC7"/>
    <w:rsid w:val="001C3B37"/>
    <w:rsid w:val="001E1089"/>
    <w:rsid w:val="00264027"/>
    <w:rsid w:val="00270326"/>
    <w:rsid w:val="00280801"/>
    <w:rsid w:val="002822C2"/>
    <w:rsid w:val="002B0126"/>
    <w:rsid w:val="00354C2B"/>
    <w:rsid w:val="003D3005"/>
    <w:rsid w:val="003D77A7"/>
    <w:rsid w:val="00474937"/>
    <w:rsid w:val="0049360D"/>
    <w:rsid w:val="004D1BE1"/>
    <w:rsid w:val="004D26C9"/>
    <w:rsid w:val="00534DD3"/>
    <w:rsid w:val="00542D8F"/>
    <w:rsid w:val="005509EC"/>
    <w:rsid w:val="00560FE3"/>
    <w:rsid w:val="00572E0C"/>
    <w:rsid w:val="005B3F2B"/>
    <w:rsid w:val="00634653"/>
    <w:rsid w:val="0066250E"/>
    <w:rsid w:val="00674EF9"/>
    <w:rsid w:val="006A47B3"/>
    <w:rsid w:val="006C3459"/>
    <w:rsid w:val="006C79C7"/>
    <w:rsid w:val="007B1688"/>
    <w:rsid w:val="007D7EF1"/>
    <w:rsid w:val="00820FA4"/>
    <w:rsid w:val="00825C75"/>
    <w:rsid w:val="0083152C"/>
    <w:rsid w:val="00886744"/>
    <w:rsid w:val="00933703"/>
    <w:rsid w:val="00950A91"/>
    <w:rsid w:val="009B09F8"/>
    <w:rsid w:val="00A52A96"/>
    <w:rsid w:val="00A73969"/>
    <w:rsid w:val="00A83731"/>
    <w:rsid w:val="00A854E2"/>
    <w:rsid w:val="00AA25F2"/>
    <w:rsid w:val="00AE4220"/>
    <w:rsid w:val="00B9399D"/>
    <w:rsid w:val="00BE61FB"/>
    <w:rsid w:val="00C17E85"/>
    <w:rsid w:val="00C97530"/>
    <w:rsid w:val="00CC48D9"/>
    <w:rsid w:val="00D40447"/>
    <w:rsid w:val="00DB0193"/>
    <w:rsid w:val="00DB5821"/>
    <w:rsid w:val="00DD5AE1"/>
    <w:rsid w:val="00E070A5"/>
    <w:rsid w:val="00E326CD"/>
    <w:rsid w:val="00EC0B2E"/>
    <w:rsid w:val="00EC282C"/>
    <w:rsid w:val="00ED672F"/>
    <w:rsid w:val="00F40278"/>
    <w:rsid w:val="00FA5198"/>
    <w:rsid w:val="00FB558D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C9B82"/>
  <w15:chartTrackingRefBased/>
  <w15:docId w15:val="{8F62D84B-FA51-CE40-94EE-33A2056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6A47B3"/>
    <w:pPr>
      <w:spacing w:after="200"/>
    </w:pPr>
    <w:rPr>
      <w:rFonts w:ascii="Times New Roman" w:hAnsi="Times New Roman" w:cs="Times New Roman (Основной текст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">
    <w:name w:val="ЭЭГ - Сетка таблицы1"/>
    <w:basedOn w:val="a1"/>
    <w:next w:val="a4"/>
    <w:uiPriority w:val="39"/>
    <w:rsid w:val="00634653"/>
    <w:pPr>
      <w:adjustRightInd w:val="0"/>
      <w:snapToGrid w:val="0"/>
      <w:spacing w:after="200"/>
    </w:pPr>
    <w:rPr>
      <w:rFonts w:ascii="Times New Roman" w:eastAsia="Calibri" w:hAnsi="Times New Roman" w:cs="Times New Roman (Основной текст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B9399D"/>
    <w:pPr>
      <w:adjustRightInd w:val="0"/>
      <w:snapToGrid w:val="0"/>
      <w:spacing w:after="200"/>
    </w:pPr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560FE3"/>
    <w:pPr>
      <w:snapToGrid w:val="0"/>
      <w:spacing w:after="20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5">
    <w:name w:val="List Paragraph"/>
    <w:basedOn w:val="a"/>
    <w:uiPriority w:val="34"/>
    <w:qFormat/>
    <w:rsid w:val="001436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42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D8F"/>
  </w:style>
  <w:style w:type="character" w:styleId="a8">
    <w:name w:val="page number"/>
    <w:basedOn w:val="a0"/>
    <w:uiPriority w:val="99"/>
    <w:semiHidden/>
    <w:unhideWhenUsed/>
    <w:rsid w:val="00542D8F"/>
  </w:style>
  <w:style w:type="paragraph" w:styleId="a9">
    <w:name w:val="header"/>
    <w:basedOn w:val="a"/>
    <w:link w:val="aa"/>
    <w:uiPriority w:val="99"/>
    <w:unhideWhenUsed/>
    <w:rsid w:val="00542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diagramData" Target="diagrams/data1.xm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07/relationships/diagramDrawing" Target="diagrams/drawing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diagramColors" Target="diagrams/colors1.xml" /><Relationship Id="rId4" Type="http://schemas.openxmlformats.org/officeDocument/2006/relationships/webSettings" Target="webSettings.xml" /><Relationship Id="rId9" Type="http://schemas.openxmlformats.org/officeDocument/2006/relationships/diagramQuickStyle" Target="diagrams/quickStyle1.xml" /><Relationship Id="rId14" Type="http://schemas.openxmlformats.org/officeDocument/2006/relationships/fontTable" Target="fontTable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692B8F-F265-C348-B24A-CD2F2A572AB2}" type="doc">
      <dgm:prSet loTypeId="urn:microsoft.com/office/officeart/2005/8/layout/process5" loCatId="" qsTypeId="urn:microsoft.com/office/officeart/2005/8/quickstyle/simple3" qsCatId="simple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E24B3B6D-DEC0-3747-9F3E-08383EE6DACF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1) Представить урок в виде логически законченных модулей с четко определенной целью и планируемым результатом. </a:t>
          </a:r>
        </a:p>
      </dgm:t>
    </dgm:pt>
    <dgm:pt modelId="{FCFC3B23-4F25-2842-B8E4-CA0B90533729}" type="parTrans" cxnId="{0F8AEBCC-15CD-D04C-BF9B-54089051A670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68373C-5CA4-5745-ADB0-6CFB695F3C23}" type="sibTrans" cxnId="{0F8AEBCC-15CD-D04C-BF9B-54089051A670}">
      <dgm:prSet custT="1"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3C9910-1DDA-D843-B48A-A96A48375689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2) Исходя из тематики урока, цели модуля, с учетом возрастных психологических особенностей развития детей, выбрать педагогический прием или технику из банка приемов. </a:t>
          </a:r>
        </a:p>
      </dgm:t>
    </dgm:pt>
    <dgm:pt modelId="{4CB54711-3C57-C441-BF86-D4EBE0436122}" type="parTrans" cxnId="{3781BB12-8516-CD42-A7CD-420A7D6D9D86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5A3187-6085-B046-B433-F2F61BCB069B}" type="sibTrans" cxnId="{3781BB12-8516-CD42-A7CD-420A7D6D9D86}">
      <dgm:prSet custT="1"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2783E8-05E0-104F-B59B-C0B0404D2BAD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3) Для подготовки учебных задач на основе материала учебника может быть использован конструктор ситуационных задач. </a:t>
          </a:r>
        </a:p>
      </dgm:t>
    </dgm:pt>
    <dgm:pt modelId="{D26470F9-F7A5-B343-B956-E6A45A16C080}" type="parTrans" cxnId="{F6C2AA4A-00B8-0248-9962-867D0117483C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740D02-0BFB-7C47-A30C-5513669EC761}" type="sibTrans" cxnId="{F6C2AA4A-00B8-0248-9962-867D0117483C}">
      <dgm:prSet custT="1"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E5154B-7702-1A45-9BB3-188982A024F7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4) Проанализировать полученный сценарий урока с точки зрения системно-деятельностного подхода. Рассмотреть выбранные приемы или техники на предмет использования ИКТ для их реализации. </a:t>
          </a:r>
        </a:p>
      </dgm:t>
    </dgm:pt>
    <dgm:pt modelId="{9A21089C-41B0-8A4F-B2C2-C0BBB5A3D2CF}" type="parTrans" cxnId="{43BADA06-9D9F-1A48-A74A-09220CEA2A2E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F5E78B-D066-184F-BD9E-8FE85D790888}" type="sibTrans" cxnId="{43BADA06-9D9F-1A48-A74A-09220CEA2A2E}">
      <dgm:prSet custT="1"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205F1-5BAB-1846-927B-59AD5A190C65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5) Оценить эффективность урока, опираясь на принцип идеальности: максимальный эффект учебной деятельности учащихся при минимальной деятельности учителя.</a:t>
          </a:r>
        </a:p>
      </dgm:t>
    </dgm:pt>
    <dgm:pt modelId="{BDE1EC44-35FA-1F4D-967B-B40BE441CDE1}" type="parTrans" cxnId="{0C14EBE5-9122-0D4E-950E-1CD3CB1CEA98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4BB9F-70DC-4944-B7E3-8A51A1E2823F}" type="sibTrans" cxnId="{0C14EBE5-9122-0D4E-950E-1CD3CB1CEA98}">
      <dgm:prSet/>
      <dgm:spPr/>
      <dgm:t>
        <a:bodyPr/>
        <a:lstStyle/>
        <a:p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AA980-094E-9C48-BE89-A1C067B7EC10}" type="pres">
      <dgm:prSet presAssocID="{4B692B8F-F265-C348-B24A-CD2F2A572AB2}" presName="diagram" presStyleCnt="0">
        <dgm:presLayoutVars>
          <dgm:dir/>
          <dgm:resizeHandles val="exact"/>
        </dgm:presLayoutVars>
      </dgm:prSet>
      <dgm:spPr/>
    </dgm:pt>
    <dgm:pt modelId="{DE0D096E-9AFC-6449-92FA-E8797F7333C6}" type="pres">
      <dgm:prSet presAssocID="{E24B3B6D-DEC0-3747-9F3E-08383EE6DACF}" presName="node" presStyleLbl="node1" presStyleIdx="0" presStyleCnt="5">
        <dgm:presLayoutVars>
          <dgm:bulletEnabled val="1"/>
        </dgm:presLayoutVars>
      </dgm:prSet>
      <dgm:spPr/>
    </dgm:pt>
    <dgm:pt modelId="{434E8C34-B746-A745-BA72-C79ECD33B85C}" type="pres">
      <dgm:prSet presAssocID="{5268373C-5CA4-5745-ADB0-6CFB695F3C23}" presName="sibTrans" presStyleLbl="sibTrans2D1" presStyleIdx="0" presStyleCnt="4"/>
      <dgm:spPr/>
    </dgm:pt>
    <dgm:pt modelId="{116C8686-D098-2348-87D0-D492487AE89D}" type="pres">
      <dgm:prSet presAssocID="{5268373C-5CA4-5745-ADB0-6CFB695F3C23}" presName="connectorText" presStyleLbl="sibTrans2D1" presStyleIdx="0" presStyleCnt="4"/>
      <dgm:spPr/>
    </dgm:pt>
    <dgm:pt modelId="{8415A836-A15F-C744-BB02-86D7F00EE823}" type="pres">
      <dgm:prSet presAssocID="{B13C9910-1DDA-D843-B48A-A96A48375689}" presName="node" presStyleLbl="node1" presStyleIdx="1" presStyleCnt="5">
        <dgm:presLayoutVars>
          <dgm:bulletEnabled val="1"/>
        </dgm:presLayoutVars>
      </dgm:prSet>
      <dgm:spPr/>
    </dgm:pt>
    <dgm:pt modelId="{59A4133A-6BC2-A14E-9B16-571F28863518}" type="pres">
      <dgm:prSet presAssocID="{8F5A3187-6085-B046-B433-F2F61BCB069B}" presName="sibTrans" presStyleLbl="sibTrans2D1" presStyleIdx="1" presStyleCnt="4"/>
      <dgm:spPr/>
    </dgm:pt>
    <dgm:pt modelId="{6AF9E7A3-A8E9-3849-85FF-B4DCE4226E37}" type="pres">
      <dgm:prSet presAssocID="{8F5A3187-6085-B046-B433-F2F61BCB069B}" presName="connectorText" presStyleLbl="sibTrans2D1" presStyleIdx="1" presStyleCnt="4"/>
      <dgm:spPr/>
    </dgm:pt>
    <dgm:pt modelId="{B897C8AD-5206-6341-9131-18C94253E8E7}" type="pres">
      <dgm:prSet presAssocID="{A72783E8-05E0-104F-B59B-C0B0404D2BAD}" presName="node" presStyleLbl="node1" presStyleIdx="2" presStyleCnt="5">
        <dgm:presLayoutVars>
          <dgm:bulletEnabled val="1"/>
        </dgm:presLayoutVars>
      </dgm:prSet>
      <dgm:spPr/>
    </dgm:pt>
    <dgm:pt modelId="{D98D714D-E077-4F46-B3E9-E7885579843F}" type="pres">
      <dgm:prSet presAssocID="{27740D02-0BFB-7C47-A30C-5513669EC761}" presName="sibTrans" presStyleLbl="sibTrans2D1" presStyleIdx="2" presStyleCnt="4"/>
      <dgm:spPr/>
    </dgm:pt>
    <dgm:pt modelId="{F392F011-16D2-CE4F-A8DB-19EBD4402BF2}" type="pres">
      <dgm:prSet presAssocID="{27740D02-0BFB-7C47-A30C-5513669EC761}" presName="connectorText" presStyleLbl="sibTrans2D1" presStyleIdx="2" presStyleCnt="4"/>
      <dgm:spPr/>
    </dgm:pt>
    <dgm:pt modelId="{4F18A5CE-C9F9-5744-8AB3-04F9BBDD17DF}" type="pres">
      <dgm:prSet presAssocID="{ECE5154B-7702-1A45-9BB3-188982A024F7}" presName="node" presStyleLbl="node1" presStyleIdx="3" presStyleCnt="5">
        <dgm:presLayoutVars>
          <dgm:bulletEnabled val="1"/>
        </dgm:presLayoutVars>
      </dgm:prSet>
      <dgm:spPr/>
    </dgm:pt>
    <dgm:pt modelId="{5E3402C6-4AE3-8849-A57B-0B97334BBBBF}" type="pres">
      <dgm:prSet presAssocID="{FFF5E78B-D066-184F-BD9E-8FE85D790888}" presName="sibTrans" presStyleLbl="sibTrans2D1" presStyleIdx="3" presStyleCnt="4"/>
      <dgm:spPr/>
    </dgm:pt>
    <dgm:pt modelId="{10C612B0-B8E4-A24B-9C28-AFA90440A79D}" type="pres">
      <dgm:prSet presAssocID="{FFF5E78B-D066-184F-BD9E-8FE85D790888}" presName="connectorText" presStyleLbl="sibTrans2D1" presStyleIdx="3" presStyleCnt="4"/>
      <dgm:spPr/>
    </dgm:pt>
    <dgm:pt modelId="{C864DF97-36D2-234B-BA6D-203A6DD99F8C}" type="pres">
      <dgm:prSet presAssocID="{B11205F1-5BAB-1846-927B-59AD5A190C65}" presName="node" presStyleLbl="node1" presStyleIdx="4" presStyleCnt="5">
        <dgm:presLayoutVars>
          <dgm:bulletEnabled val="1"/>
        </dgm:presLayoutVars>
      </dgm:prSet>
      <dgm:spPr/>
    </dgm:pt>
  </dgm:ptLst>
  <dgm:cxnLst>
    <dgm:cxn modelId="{43BADA06-9D9F-1A48-A74A-09220CEA2A2E}" srcId="{4B692B8F-F265-C348-B24A-CD2F2A572AB2}" destId="{ECE5154B-7702-1A45-9BB3-188982A024F7}" srcOrd="3" destOrd="0" parTransId="{9A21089C-41B0-8A4F-B2C2-C0BBB5A3D2CF}" sibTransId="{FFF5E78B-D066-184F-BD9E-8FE85D790888}"/>
    <dgm:cxn modelId="{58F44511-3A46-0A4C-84FC-DB8E1A25B0B9}" type="presOf" srcId="{27740D02-0BFB-7C47-A30C-5513669EC761}" destId="{F392F011-16D2-CE4F-A8DB-19EBD4402BF2}" srcOrd="1" destOrd="0" presId="urn:microsoft.com/office/officeart/2005/8/layout/process5"/>
    <dgm:cxn modelId="{3781BB12-8516-CD42-A7CD-420A7D6D9D86}" srcId="{4B692B8F-F265-C348-B24A-CD2F2A572AB2}" destId="{B13C9910-1DDA-D843-B48A-A96A48375689}" srcOrd="1" destOrd="0" parTransId="{4CB54711-3C57-C441-BF86-D4EBE0436122}" sibTransId="{8F5A3187-6085-B046-B433-F2F61BCB069B}"/>
    <dgm:cxn modelId="{7EFAB514-2B7C-1541-9965-C802FBEA0566}" type="presOf" srcId="{5268373C-5CA4-5745-ADB0-6CFB695F3C23}" destId="{116C8686-D098-2348-87D0-D492487AE89D}" srcOrd="1" destOrd="0" presId="urn:microsoft.com/office/officeart/2005/8/layout/process5"/>
    <dgm:cxn modelId="{C24F031E-87E0-434A-B146-60489D608D96}" type="presOf" srcId="{B11205F1-5BAB-1846-927B-59AD5A190C65}" destId="{C864DF97-36D2-234B-BA6D-203A6DD99F8C}" srcOrd="0" destOrd="0" presId="urn:microsoft.com/office/officeart/2005/8/layout/process5"/>
    <dgm:cxn modelId="{69B25529-E357-5F4E-8CBC-390780645DFD}" type="presOf" srcId="{ECE5154B-7702-1A45-9BB3-188982A024F7}" destId="{4F18A5CE-C9F9-5744-8AB3-04F9BBDD17DF}" srcOrd="0" destOrd="0" presId="urn:microsoft.com/office/officeart/2005/8/layout/process5"/>
    <dgm:cxn modelId="{C8414F3C-F462-C24A-8A62-3107FA8B709C}" type="presOf" srcId="{B13C9910-1DDA-D843-B48A-A96A48375689}" destId="{8415A836-A15F-C744-BB02-86D7F00EE823}" srcOrd="0" destOrd="0" presId="urn:microsoft.com/office/officeart/2005/8/layout/process5"/>
    <dgm:cxn modelId="{F6C2AA4A-00B8-0248-9962-867D0117483C}" srcId="{4B692B8F-F265-C348-B24A-CD2F2A572AB2}" destId="{A72783E8-05E0-104F-B59B-C0B0404D2BAD}" srcOrd="2" destOrd="0" parTransId="{D26470F9-F7A5-B343-B956-E6A45A16C080}" sibTransId="{27740D02-0BFB-7C47-A30C-5513669EC761}"/>
    <dgm:cxn modelId="{068E9E72-2AD9-B846-9FB0-A7BB26F84EF0}" type="presOf" srcId="{FFF5E78B-D066-184F-BD9E-8FE85D790888}" destId="{10C612B0-B8E4-A24B-9C28-AFA90440A79D}" srcOrd="1" destOrd="0" presId="urn:microsoft.com/office/officeart/2005/8/layout/process5"/>
    <dgm:cxn modelId="{6AB29392-4EB3-AA48-881E-953524F413E8}" type="presOf" srcId="{5268373C-5CA4-5745-ADB0-6CFB695F3C23}" destId="{434E8C34-B746-A745-BA72-C79ECD33B85C}" srcOrd="0" destOrd="0" presId="urn:microsoft.com/office/officeart/2005/8/layout/process5"/>
    <dgm:cxn modelId="{BB6F9AB8-051C-CC4B-8EBD-9ECCE638B6CD}" type="presOf" srcId="{4B692B8F-F265-C348-B24A-CD2F2A572AB2}" destId="{481AA980-094E-9C48-BE89-A1C067B7EC10}" srcOrd="0" destOrd="0" presId="urn:microsoft.com/office/officeart/2005/8/layout/process5"/>
    <dgm:cxn modelId="{D411B0C0-8102-F241-92E9-F701A9D80462}" type="presOf" srcId="{FFF5E78B-D066-184F-BD9E-8FE85D790888}" destId="{5E3402C6-4AE3-8849-A57B-0B97334BBBBF}" srcOrd="0" destOrd="0" presId="urn:microsoft.com/office/officeart/2005/8/layout/process5"/>
    <dgm:cxn modelId="{0F8AEBCC-15CD-D04C-BF9B-54089051A670}" srcId="{4B692B8F-F265-C348-B24A-CD2F2A572AB2}" destId="{E24B3B6D-DEC0-3747-9F3E-08383EE6DACF}" srcOrd="0" destOrd="0" parTransId="{FCFC3B23-4F25-2842-B8E4-CA0B90533729}" sibTransId="{5268373C-5CA4-5745-ADB0-6CFB695F3C23}"/>
    <dgm:cxn modelId="{899C31D0-A52B-3149-834A-7F4D4CB3B9BE}" type="presOf" srcId="{A72783E8-05E0-104F-B59B-C0B0404D2BAD}" destId="{B897C8AD-5206-6341-9131-18C94253E8E7}" srcOrd="0" destOrd="0" presId="urn:microsoft.com/office/officeart/2005/8/layout/process5"/>
    <dgm:cxn modelId="{460128E5-CB98-754B-9274-BEB0CA08D0B4}" type="presOf" srcId="{E24B3B6D-DEC0-3747-9F3E-08383EE6DACF}" destId="{DE0D096E-9AFC-6449-92FA-E8797F7333C6}" srcOrd="0" destOrd="0" presId="urn:microsoft.com/office/officeart/2005/8/layout/process5"/>
    <dgm:cxn modelId="{0C14EBE5-9122-0D4E-950E-1CD3CB1CEA98}" srcId="{4B692B8F-F265-C348-B24A-CD2F2A572AB2}" destId="{B11205F1-5BAB-1846-927B-59AD5A190C65}" srcOrd="4" destOrd="0" parTransId="{BDE1EC44-35FA-1F4D-967B-B40BE441CDE1}" sibTransId="{CFE4BB9F-70DC-4944-B7E3-8A51A1E2823F}"/>
    <dgm:cxn modelId="{2A91B5E7-61EF-494C-8A81-A545F1717228}" type="presOf" srcId="{27740D02-0BFB-7C47-A30C-5513669EC761}" destId="{D98D714D-E077-4F46-B3E9-E7885579843F}" srcOrd="0" destOrd="0" presId="urn:microsoft.com/office/officeart/2005/8/layout/process5"/>
    <dgm:cxn modelId="{77C737ED-76C9-3B44-B88A-210E5CBDAFE5}" type="presOf" srcId="{8F5A3187-6085-B046-B433-F2F61BCB069B}" destId="{6AF9E7A3-A8E9-3849-85FF-B4DCE4226E37}" srcOrd="1" destOrd="0" presId="urn:microsoft.com/office/officeart/2005/8/layout/process5"/>
    <dgm:cxn modelId="{1AEA75F1-4B2C-4540-8323-6162E3A7483F}" type="presOf" srcId="{8F5A3187-6085-B046-B433-F2F61BCB069B}" destId="{59A4133A-6BC2-A14E-9B16-571F28863518}" srcOrd="0" destOrd="0" presId="urn:microsoft.com/office/officeart/2005/8/layout/process5"/>
    <dgm:cxn modelId="{402E441C-424E-7A49-9738-1D700E5E7891}" type="presParOf" srcId="{481AA980-094E-9C48-BE89-A1C067B7EC10}" destId="{DE0D096E-9AFC-6449-92FA-E8797F7333C6}" srcOrd="0" destOrd="0" presId="urn:microsoft.com/office/officeart/2005/8/layout/process5"/>
    <dgm:cxn modelId="{33D262FE-728C-6C46-80A3-2DE685C84D28}" type="presParOf" srcId="{481AA980-094E-9C48-BE89-A1C067B7EC10}" destId="{434E8C34-B746-A745-BA72-C79ECD33B85C}" srcOrd="1" destOrd="0" presId="urn:microsoft.com/office/officeart/2005/8/layout/process5"/>
    <dgm:cxn modelId="{537093AD-A88D-0747-9D96-3967B79C3511}" type="presParOf" srcId="{434E8C34-B746-A745-BA72-C79ECD33B85C}" destId="{116C8686-D098-2348-87D0-D492487AE89D}" srcOrd="0" destOrd="0" presId="urn:microsoft.com/office/officeart/2005/8/layout/process5"/>
    <dgm:cxn modelId="{73F3DBD0-7DE7-6B46-9398-6A0EE9A9D3C1}" type="presParOf" srcId="{481AA980-094E-9C48-BE89-A1C067B7EC10}" destId="{8415A836-A15F-C744-BB02-86D7F00EE823}" srcOrd="2" destOrd="0" presId="urn:microsoft.com/office/officeart/2005/8/layout/process5"/>
    <dgm:cxn modelId="{3E5F8747-44AC-D842-95E6-11969FECD400}" type="presParOf" srcId="{481AA980-094E-9C48-BE89-A1C067B7EC10}" destId="{59A4133A-6BC2-A14E-9B16-571F28863518}" srcOrd="3" destOrd="0" presId="urn:microsoft.com/office/officeart/2005/8/layout/process5"/>
    <dgm:cxn modelId="{FD08D95B-F240-A44D-9856-6AEC3A8402F8}" type="presParOf" srcId="{59A4133A-6BC2-A14E-9B16-571F28863518}" destId="{6AF9E7A3-A8E9-3849-85FF-B4DCE4226E37}" srcOrd="0" destOrd="0" presId="urn:microsoft.com/office/officeart/2005/8/layout/process5"/>
    <dgm:cxn modelId="{50049419-95E8-E24F-A9CC-43F05EF383A7}" type="presParOf" srcId="{481AA980-094E-9C48-BE89-A1C067B7EC10}" destId="{B897C8AD-5206-6341-9131-18C94253E8E7}" srcOrd="4" destOrd="0" presId="urn:microsoft.com/office/officeart/2005/8/layout/process5"/>
    <dgm:cxn modelId="{0A3B4832-FCAA-DC44-B812-E7FE0CE56263}" type="presParOf" srcId="{481AA980-094E-9C48-BE89-A1C067B7EC10}" destId="{D98D714D-E077-4F46-B3E9-E7885579843F}" srcOrd="5" destOrd="0" presId="urn:microsoft.com/office/officeart/2005/8/layout/process5"/>
    <dgm:cxn modelId="{6B78281D-E205-D84B-B10C-E1E82BE14F4C}" type="presParOf" srcId="{D98D714D-E077-4F46-B3E9-E7885579843F}" destId="{F392F011-16D2-CE4F-A8DB-19EBD4402BF2}" srcOrd="0" destOrd="0" presId="urn:microsoft.com/office/officeart/2005/8/layout/process5"/>
    <dgm:cxn modelId="{637D93B3-77D2-4643-922B-71A366AA373D}" type="presParOf" srcId="{481AA980-094E-9C48-BE89-A1C067B7EC10}" destId="{4F18A5CE-C9F9-5744-8AB3-04F9BBDD17DF}" srcOrd="6" destOrd="0" presId="urn:microsoft.com/office/officeart/2005/8/layout/process5"/>
    <dgm:cxn modelId="{AB11AC06-7B99-4A4A-8C34-ABD8E7D81020}" type="presParOf" srcId="{481AA980-094E-9C48-BE89-A1C067B7EC10}" destId="{5E3402C6-4AE3-8849-A57B-0B97334BBBBF}" srcOrd="7" destOrd="0" presId="urn:microsoft.com/office/officeart/2005/8/layout/process5"/>
    <dgm:cxn modelId="{35F4B285-B5A7-0F46-86EC-840AF8B90C3D}" type="presParOf" srcId="{5E3402C6-4AE3-8849-A57B-0B97334BBBBF}" destId="{10C612B0-B8E4-A24B-9C28-AFA90440A79D}" srcOrd="0" destOrd="0" presId="urn:microsoft.com/office/officeart/2005/8/layout/process5"/>
    <dgm:cxn modelId="{D179878E-5CAB-2B40-8E44-2FD0E655DEF2}" type="presParOf" srcId="{481AA980-094E-9C48-BE89-A1C067B7EC10}" destId="{C864DF97-36D2-234B-BA6D-203A6DD99F8C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D096E-9AFC-6449-92FA-E8797F7333C6}">
      <dsp:nvSpPr>
        <dsp:cNvPr id="0" name=""/>
        <dsp:cNvSpPr/>
      </dsp:nvSpPr>
      <dsp:spPr>
        <a:xfrm>
          <a:off x="4822" y="252645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1) Представить урок в виде логически законченных модулей с четко определенной целью и планируемым результатом. </a:t>
          </a:r>
        </a:p>
      </dsp:txBody>
      <dsp:txXfrm>
        <a:off x="30150" y="277973"/>
        <a:ext cx="1390595" cy="814094"/>
      </dsp:txXfrm>
    </dsp:sp>
    <dsp:sp modelId="{434E8C34-B746-A745-BA72-C79ECD33B85C}">
      <dsp:nvSpPr>
        <dsp:cNvPr id="0" name=""/>
        <dsp:cNvSpPr/>
      </dsp:nvSpPr>
      <dsp:spPr>
        <a:xfrm>
          <a:off x="1572903" y="506306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2903" y="577792"/>
        <a:ext cx="213882" cy="214458"/>
      </dsp:txXfrm>
    </dsp:sp>
    <dsp:sp modelId="{8415A836-A15F-C744-BB02-86D7F00EE823}">
      <dsp:nvSpPr>
        <dsp:cNvPr id="0" name=""/>
        <dsp:cNvSpPr/>
      </dsp:nvSpPr>
      <dsp:spPr>
        <a:xfrm>
          <a:off x="2022574" y="252645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50000"/>
                <a:hueOff val="-236469"/>
                <a:satOff val="3113"/>
                <a:lumOff val="1864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-236469"/>
                <a:satOff val="3113"/>
                <a:lumOff val="1864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-236469"/>
                <a:satOff val="3113"/>
                <a:lumOff val="1864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2) Исходя из тематики урока, цели модуля, с учетом возрастных психологических особенностей развития детей, выбрать педагогический прием или технику из банка приемов. </a:t>
          </a:r>
        </a:p>
      </dsp:txBody>
      <dsp:txXfrm>
        <a:off x="2047902" y="277973"/>
        <a:ext cx="1390595" cy="814094"/>
      </dsp:txXfrm>
    </dsp:sp>
    <dsp:sp modelId="{59A4133A-6BC2-A14E-9B16-571F28863518}">
      <dsp:nvSpPr>
        <dsp:cNvPr id="0" name=""/>
        <dsp:cNvSpPr/>
      </dsp:nvSpPr>
      <dsp:spPr>
        <a:xfrm>
          <a:off x="3590655" y="506306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87340"/>
                <a:satOff val="204"/>
                <a:lumOff val="1605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0655" y="577792"/>
        <a:ext cx="213882" cy="214458"/>
      </dsp:txXfrm>
    </dsp:sp>
    <dsp:sp modelId="{B897C8AD-5206-6341-9131-18C94253E8E7}">
      <dsp:nvSpPr>
        <dsp:cNvPr id="0" name=""/>
        <dsp:cNvSpPr/>
      </dsp:nvSpPr>
      <dsp:spPr>
        <a:xfrm>
          <a:off x="4040326" y="252645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50000"/>
                <a:hueOff val="-472938"/>
                <a:satOff val="6226"/>
                <a:lumOff val="3729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-472938"/>
                <a:satOff val="6226"/>
                <a:lumOff val="3729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-472938"/>
                <a:satOff val="6226"/>
                <a:lumOff val="3729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3) Для подготовки учебных задач на основе материала учебника может быть использован конструктор ситуационных задач. </a:t>
          </a:r>
        </a:p>
      </dsp:txBody>
      <dsp:txXfrm>
        <a:off x="4065654" y="277973"/>
        <a:ext cx="1390595" cy="814094"/>
      </dsp:txXfrm>
    </dsp:sp>
    <dsp:sp modelId="{D98D714D-E077-4F46-B3E9-E7885579843F}">
      <dsp:nvSpPr>
        <dsp:cNvPr id="0" name=""/>
        <dsp:cNvSpPr/>
      </dsp:nvSpPr>
      <dsp:spPr>
        <a:xfrm rot="5400000">
          <a:off x="4608179" y="1218284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74681"/>
                <a:satOff val="409"/>
                <a:lumOff val="3211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653723" y="1244227"/>
        <a:ext cx="214458" cy="213882"/>
      </dsp:txXfrm>
    </dsp:sp>
    <dsp:sp modelId="{4F18A5CE-C9F9-5744-8AB3-04F9BBDD17DF}">
      <dsp:nvSpPr>
        <dsp:cNvPr id="0" name=""/>
        <dsp:cNvSpPr/>
      </dsp:nvSpPr>
      <dsp:spPr>
        <a:xfrm>
          <a:off x="4040326" y="1693897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50000"/>
                <a:hueOff val="-472938"/>
                <a:satOff val="6226"/>
                <a:lumOff val="3729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-472938"/>
                <a:satOff val="6226"/>
                <a:lumOff val="3729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-472938"/>
                <a:satOff val="6226"/>
                <a:lumOff val="3729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4) Проанализировать полученный сценарий урока с точки зрения системно-деятельностного подхода. Рассмотреть выбранные приемы или техники на предмет использования ИКТ для их реализации. </a:t>
          </a:r>
        </a:p>
      </dsp:txBody>
      <dsp:txXfrm>
        <a:off x="4065654" y="1719225"/>
        <a:ext cx="1390595" cy="814094"/>
      </dsp:txXfrm>
    </dsp:sp>
    <dsp:sp modelId="{5E3402C6-4AE3-8849-A57B-0B97334BBBBF}">
      <dsp:nvSpPr>
        <dsp:cNvPr id="0" name=""/>
        <dsp:cNvSpPr/>
      </dsp:nvSpPr>
      <dsp:spPr>
        <a:xfrm rot="10800000">
          <a:off x="3607950" y="1947557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87340"/>
                <a:satOff val="204"/>
                <a:lumOff val="1605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699613" y="2019043"/>
        <a:ext cx="213882" cy="214458"/>
      </dsp:txXfrm>
    </dsp:sp>
    <dsp:sp modelId="{C864DF97-36D2-234B-BA6D-203A6DD99F8C}">
      <dsp:nvSpPr>
        <dsp:cNvPr id="0" name=""/>
        <dsp:cNvSpPr/>
      </dsp:nvSpPr>
      <dsp:spPr>
        <a:xfrm>
          <a:off x="2022574" y="1693897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50000"/>
                <a:hueOff val="-236469"/>
                <a:satOff val="3113"/>
                <a:lumOff val="1864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50000"/>
                <a:hueOff val="-236469"/>
                <a:satOff val="3113"/>
                <a:lumOff val="1864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50000"/>
                <a:hueOff val="-236469"/>
                <a:satOff val="3113"/>
                <a:lumOff val="1864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5) Оценить эффективность урока, опираясь на принцип идеальности: максимальный эффект учебной деятельности учащихся при минимальной деятельности учителя.</a:t>
          </a:r>
        </a:p>
      </dsp:txBody>
      <dsp:txXfrm>
        <a:off x="2047902" y="1719225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Карпова</dc:creator>
  <cp:keywords/>
  <dc:description/>
  <cp:lastModifiedBy>Гость</cp:lastModifiedBy>
  <cp:revision>2</cp:revision>
  <dcterms:created xsi:type="dcterms:W3CDTF">2022-06-02T18:39:00Z</dcterms:created>
  <dcterms:modified xsi:type="dcterms:W3CDTF">2022-06-02T18:39:00Z</dcterms:modified>
</cp:coreProperties>
</file>