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93CE" w14:textId="3099E75D" w:rsidR="005B22FE" w:rsidRPr="005B22FE" w:rsidRDefault="005B22FE" w:rsidP="005B22FE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                                                                             </w:t>
      </w:r>
      <w:r w:rsidR="00FA04C2" w:rsidRP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5B22F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В.В. Колчина, 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к.п.н., доцент </w:t>
      </w:r>
    </w:p>
    <w:p w14:paraId="3314388B" w14:textId="77777777" w:rsidR="005B22FE" w:rsidRDefault="005B22FE" w:rsidP="005B22F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bookmarkStart w:id="0" w:name="_Hlk44948230"/>
      <w:r w:rsidRPr="005B22F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ФГБОУ ВО «Уральский государственный экономический университет»,</w:t>
      </w:r>
    </w:p>
    <w:bookmarkEnd w:id="0"/>
    <w:p w14:paraId="4898BC53" w14:textId="74152B48" w:rsidR="005B22FE" w:rsidRPr="00FA04C2" w:rsidRDefault="005B22FE" w:rsidP="005B22F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5B22F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г. Екатеринбург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, 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vera</w:t>
      </w:r>
      <w:r w:rsidR="00FA04C2" w:rsidRP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.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kolchina</w:t>
      </w:r>
      <w:r w:rsidR="00FA04C2" w:rsidRP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.1975@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mail</w:t>
      </w:r>
      <w:r w:rsidR="00FA04C2" w:rsidRPr="00FA04C2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.</w:t>
      </w:r>
      <w:r w:rsid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ru</w:t>
      </w:r>
    </w:p>
    <w:p w14:paraId="66A8B305" w14:textId="35726233" w:rsidR="00FA04C2" w:rsidRPr="00FA04C2" w:rsidRDefault="00FA04C2" w:rsidP="00FA04C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</w:pPr>
      <w:r w:rsidRP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 xml:space="preserve">V.V. Kolchina, </w:t>
      </w:r>
      <w:r w:rsidR="00403DC1" w:rsidRPr="00403DC1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PhD</w:t>
      </w:r>
    </w:p>
    <w:p w14:paraId="25A0038B" w14:textId="70E8B748" w:rsidR="00FA04C2" w:rsidRPr="00FA04C2" w:rsidRDefault="00FA04C2" w:rsidP="00FA04C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</w:pPr>
      <w:r w:rsidRPr="00FA04C2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«Ural State University of Economics», Yekaterinburg</w:t>
      </w:r>
    </w:p>
    <w:p w14:paraId="55513DC7" w14:textId="7930C99C" w:rsidR="00FA04C2" w:rsidRPr="00330CDA" w:rsidRDefault="00330CDA" w:rsidP="005B22F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330CD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Н.К</w:t>
      </w:r>
      <w:r w:rsidR="00FA04C2" w:rsidRPr="00330CD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. Ми</w:t>
      </w:r>
      <w:r w:rsidRPr="00330CD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рзаев</w:t>
      </w:r>
      <w:r w:rsidR="00403DC1" w:rsidRPr="00330CD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, студент </w:t>
      </w:r>
      <w:r w:rsidRPr="00330CD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ЭК-19-4</w:t>
      </w:r>
    </w:p>
    <w:p w14:paraId="4B24890E" w14:textId="481B6A63" w:rsidR="00403DC1" w:rsidRPr="00403DC1" w:rsidRDefault="00403DC1" w:rsidP="00403DC1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403DC1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ФГБОУ ВО «Уральский государственный экономический университет»,</w:t>
      </w:r>
    </w:p>
    <w:p w14:paraId="5ECD4249" w14:textId="5625279D" w:rsidR="00403DC1" w:rsidRPr="00F76A13" w:rsidRDefault="00403DC1" w:rsidP="00403DC1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val="en-US" w:eastAsia="zh-CN"/>
        </w:rPr>
      </w:pPr>
      <w:r w:rsidRPr="00403DC1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г</w:t>
      </w:r>
      <w:r w:rsidRPr="00F76A13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 xml:space="preserve">. </w:t>
      </w:r>
      <w:r w:rsidRPr="00403DC1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Екатеринбург</w:t>
      </w:r>
      <w:r w:rsidRPr="00F76A13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 xml:space="preserve">, </w:t>
      </w:r>
      <w:r w:rsidR="00330CDA" w:rsidRPr="0033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mrmirzaev</w:t>
      </w:r>
      <w:r w:rsidR="00330CDA" w:rsidRPr="00F76A13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08@</w:t>
      </w:r>
      <w:r w:rsidR="00330CDA" w:rsidRPr="0033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gmail</w:t>
      </w:r>
      <w:r w:rsidR="00330CDA" w:rsidRPr="00F76A13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.</w:t>
      </w:r>
      <w:r w:rsidR="00330CDA" w:rsidRPr="00330CDA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ru</w:t>
      </w:r>
    </w:p>
    <w:p w14:paraId="04D80770" w14:textId="54FCA0ED" w:rsidR="005B22FE" w:rsidRPr="00222F79" w:rsidRDefault="00222F79" w:rsidP="00403DC1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</w:pPr>
      <w:r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N.K</w:t>
      </w:r>
      <w:r w:rsidR="00FA04C2"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. Mi</w:t>
      </w:r>
      <w:r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rzaev</w:t>
      </w:r>
      <w:r w:rsidR="00403DC1"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,</w:t>
      </w:r>
      <w:r w:rsidR="00403DC1" w:rsidRPr="00222F79">
        <w:rPr>
          <w:i/>
          <w:iCs/>
          <w:lang w:val="en-US"/>
        </w:rPr>
        <w:t xml:space="preserve"> </w:t>
      </w:r>
      <w:r w:rsidR="00403DC1"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 xml:space="preserve">student </w:t>
      </w:r>
      <w:r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EC</w:t>
      </w:r>
      <w:r w:rsidR="00403DC1"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-19</w:t>
      </w:r>
      <w:r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>-4</w:t>
      </w:r>
      <w:r w:rsidR="00403DC1" w:rsidRPr="00222F79">
        <w:rPr>
          <w:rFonts w:ascii="Times New Roman" w:eastAsia="Calibri" w:hAnsi="Times New Roman" w:cs="Times New Roman"/>
          <w:i/>
          <w:iCs/>
          <w:sz w:val="28"/>
          <w:szCs w:val="28"/>
          <w:lang w:val="en-US" w:eastAsia="zh-CN"/>
        </w:rPr>
        <w:t xml:space="preserve"> </w:t>
      </w:r>
    </w:p>
    <w:p w14:paraId="2F793F73" w14:textId="77777777" w:rsidR="00403DC1" w:rsidRPr="00222F79" w:rsidRDefault="00403DC1" w:rsidP="003927D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</w:pPr>
    </w:p>
    <w:p w14:paraId="716D9EE4" w14:textId="63CDE5E1" w:rsidR="003927D4" w:rsidRDefault="00AB3010" w:rsidP="00AB3010">
      <w:pPr>
        <w:pStyle w:val="1"/>
        <w:ind w:left="0" w:firstLine="709"/>
        <w:jc w:val="center"/>
        <w:rPr>
          <w:rFonts w:eastAsia="Calibri"/>
          <w:sz w:val="28"/>
          <w:lang w:eastAsia="zh-CN"/>
        </w:rPr>
      </w:pPr>
      <w:r w:rsidRPr="00AB3010">
        <w:rPr>
          <w:rFonts w:eastAsia="Calibri"/>
          <w:sz w:val="28"/>
          <w:lang w:eastAsia="zh-CN"/>
        </w:rPr>
        <w:t>АКТУАЛЬНЫЕ ПРОБЛЕМЫ НАЛОГООБЛОЖЕНИЯ В СОВРЕМЕННОЙ РОССИИ</w:t>
      </w:r>
    </w:p>
    <w:p w14:paraId="6CF8C9FE" w14:textId="77777777" w:rsidR="00AB3010" w:rsidRPr="00AB3010" w:rsidRDefault="00AB3010" w:rsidP="00AB3010">
      <w:pPr>
        <w:pStyle w:val="1"/>
        <w:ind w:left="0" w:firstLine="709"/>
        <w:jc w:val="center"/>
        <w:rPr>
          <w:rFonts w:eastAsia="Calibri"/>
          <w:sz w:val="28"/>
          <w:lang w:eastAsia="zh-CN"/>
        </w:rPr>
      </w:pPr>
    </w:p>
    <w:p w14:paraId="0675419B" w14:textId="7CD2221B" w:rsidR="00FA04C2" w:rsidRDefault="00AB3010" w:rsidP="00AB3010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</w:pP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CURRENT</w:t>
      </w:r>
      <w:r w:rsidRPr="009D5D78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PROBLEMS</w:t>
      </w:r>
      <w:r w:rsidRPr="009D5D78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OF</w:t>
      </w:r>
      <w:r w:rsidRPr="009D5D78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TAXATION</w:t>
      </w:r>
      <w:r w:rsidRPr="009D5D78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IN</w:t>
      </w:r>
      <w:r w:rsidRPr="009D5D78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AB30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MODERN RUSSIA</w:t>
      </w:r>
    </w:p>
    <w:p w14:paraId="2473633E" w14:textId="77777777" w:rsidR="00AB3010" w:rsidRPr="00FA04C2" w:rsidRDefault="00AB3010" w:rsidP="003927D4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</w:p>
    <w:p w14:paraId="5C5575E0" w14:textId="1CFE2514" w:rsidR="006C3FF1" w:rsidRPr="007D6BBB" w:rsidRDefault="0074741F" w:rsidP="000F32F7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BBB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Ключевые слова:</w:t>
      </w:r>
      <w:r w:rsidR="006C3FF1" w:rsidRPr="007D6BB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6C3FF1" w:rsidRPr="007D6BBB">
        <w:rPr>
          <w:rFonts w:ascii="Times New Roman" w:hAnsi="Times New Roman" w:cs="Times New Roman"/>
          <w:i/>
          <w:sz w:val="28"/>
          <w:szCs w:val="28"/>
        </w:rPr>
        <w:t>налоговые</w:t>
      </w:r>
      <w:r w:rsidR="006C3FF1" w:rsidRPr="007D6B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правоотношения,</w:t>
      </w:r>
      <w:r w:rsidR="00552672" w:rsidRPr="007D6BBB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двойное</w:t>
      </w:r>
      <w:r w:rsidR="00552672" w:rsidRPr="007D6BBB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налогообложение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, налоговая</w:t>
      </w:r>
      <w:r w:rsidR="000F32F7" w:rsidRPr="007D6BB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политика, налоговая</w:t>
      </w:r>
      <w:r w:rsidR="000F32F7" w:rsidRPr="007D6BB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система</w:t>
      </w:r>
      <w:r w:rsidR="00B6711C" w:rsidRPr="007D6BBB">
        <w:rPr>
          <w:rFonts w:ascii="Times New Roman" w:hAnsi="Times New Roman" w:cs="Times New Roman"/>
          <w:i/>
          <w:sz w:val="28"/>
          <w:szCs w:val="28"/>
        </w:rPr>
        <w:t>.</w:t>
      </w:r>
    </w:p>
    <w:p w14:paraId="1FA95CCB" w14:textId="5CE1258A" w:rsidR="00622D81" w:rsidRPr="007D6BBB" w:rsidRDefault="006C3FF1" w:rsidP="00FC61FA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</w:pPr>
      <w:r w:rsidRPr="007D6BBB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Keywords: tax legal relationship</w:t>
      </w:r>
      <w:r w:rsidR="00FC61FA" w:rsidRPr="007D6BBB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, double taxation</w:t>
      </w:r>
      <w:r w:rsidR="00DC0A1B" w:rsidRPr="007D6BBB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, tax policy, tax system</w:t>
      </w:r>
      <w:r w:rsidR="00B6711C" w:rsidRPr="007D6BBB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.</w:t>
      </w:r>
    </w:p>
    <w:p w14:paraId="232F1BCD" w14:textId="0117A77F" w:rsidR="00FA04C2" w:rsidRDefault="00FA04C2" w:rsidP="00FA04C2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</w:p>
    <w:p w14:paraId="74F4415D" w14:textId="077A3656" w:rsidR="00187A72" w:rsidRDefault="00187A72" w:rsidP="00FA04C2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7A72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Аннотация:</w:t>
      </w:r>
      <w:r w:rsidRPr="00187A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C61FA" w:rsidRPr="00FC61FA">
        <w:rPr>
          <w:rFonts w:ascii="Times New Roman" w:eastAsia="Calibri" w:hAnsi="Times New Roman" w:cs="Times New Roman"/>
          <w:sz w:val="28"/>
          <w:szCs w:val="28"/>
          <w:lang w:eastAsia="zh-CN"/>
        </w:rPr>
        <w:t>В статье рассматриваются основные налоговые проблемы в Российской Федерации, а также даются рекомендации по совершенствованию налогового законодательства.</w:t>
      </w:r>
    </w:p>
    <w:p w14:paraId="0381692F" w14:textId="560BF129" w:rsidR="00187A72" w:rsidRPr="00FC61FA" w:rsidRDefault="00187A72" w:rsidP="00886DDE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</w:pPr>
      <w:r w:rsidRPr="00187A72">
        <w:rPr>
          <w:rFonts w:ascii="Times New Roman" w:hAnsi="Times New Roman" w:cs="Times New Roman"/>
          <w:i/>
          <w:color w:val="000000"/>
          <w:sz w:val="28"/>
          <w:szCs w:val="27"/>
          <w:lang w:val="en-US"/>
        </w:rPr>
        <w:t>Annotation</w:t>
      </w:r>
      <w:r w:rsidRPr="00FC61FA">
        <w:rPr>
          <w:rFonts w:ascii="Times New Roman" w:hAnsi="Times New Roman" w:cs="Times New Roman"/>
          <w:i/>
          <w:color w:val="000000"/>
          <w:sz w:val="24"/>
          <w:szCs w:val="27"/>
          <w:lang w:val="en-US"/>
        </w:rPr>
        <w:t>:</w:t>
      </w:r>
      <w:r w:rsidR="00886DDE" w:rsidRPr="00FC61FA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 xml:space="preserve"> </w:t>
      </w:r>
      <w:r w:rsidR="00FC61FA" w:rsidRPr="00FC61F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The article discusses the main tax problems in the Russian Federation, and also provides recommendations for improving tax legislation.</w:t>
      </w:r>
    </w:p>
    <w:p w14:paraId="003EBD66" w14:textId="339F5CC2" w:rsidR="00187A72" w:rsidRPr="00A851D5" w:rsidRDefault="00F76A13" w:rsidP="00FA04C2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Быстрые темпы развития большинства экономических сфер в России неизбежно привели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необходимости 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>реформ в сфере нало</w:t>
      </w:r>
      <w:r w:rsidR="004956FF">
        <w:rPr>
          <w:rFonts w:ascii="Times New Roman" w:eastAsia="Calibri" w:hAnsi="Times New Roman" w:cs="Times New Roman"/>
          <w:sz w:val="28"/>
          <w:szCs w:val="28"/>
          <w:lang w:eastAsia="zh-CN"/>
        </w:rPr>
        <w:t>гообложения и налоговой политики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Существует </w:t>
      </w:r>
      <w:r w:rsidR="00612F40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 в сдерживании или стимулировании секторов и сфер экономики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>, а</w:t>
      </w:r>
      <w:r w:rsidR="004A35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также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госрегулирования </w:t>
      </w:r>
      <w:r w:rsidR="004A35B2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финансовой деятельности наибо</w:t>
      </w:r>
      <w:r w:rsidR="00041049">
        <w:rPr>
          <w:rFonts w:ascii="Times New Roman" w:eastAsia="Calibri" w:hAnsi="Times New Roman" w:cs="Times New Roman"/>
          <w:sz w:val="28"/>
          <w:szCs w:val="28"/>
          <w:lang w:eastAsia="zh-CN"/>
        </w:rPr>
        <w:t>лее важных налогоплатежных субъектов</w:t>
      </w:r>
      <w:r w:rsidR="00612F40" w:rsidRPr="00612F4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06A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Большинство мер которые били приняты для попытки достижения оказались не на столько эффективными как было запланировало</w:t>
      </w:r>
      <w:r w:rsidR="00C908F5" w:rsidRPr="00C908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9A0E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Исходя из этого у физических юридических лиц возникли дополнительные проблемы в </w:t>
      </w:r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>налогоплатежной</w:t>
      </w:r>
      <w:r w:rsidR="009A0E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сфере</w:t>
      </w:r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Довольно часто на почве налоговых правоотношений происходит конфликт, </w:t>
      </w:r>
      <w:r w:rsidR="00FC41DE">
        <w:rPr>
          <w:rFonts w:ascii="Times New Roman" w:eastAsia="Calibri" w:hAnsi="Times New Roman" w:cs="Times New Roman"/>
          <w:sz w:val="28"/>
          <w:szCs w:val="28"/>
          <w:lang w:eastAsia="zh-CN"/>
        </w:rPr>
        <w:t>например,</w:t>
      </w:r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когда налоговые органы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имеют возможность 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применять неправомерные меры принуждения от лица государства к налогоплательщикам</w:t>
      </w:r>
      <w:r w:rsidR="00A851D5" w:rsidRP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>Основываясь на вышеизложенном и приняв во внимание различные факторы, встаёт вопрос о необходимости правовой защиты налогоплательщиков от порой незаконных действий налоговой структуры</w:t>
      </w:r>
      <w:r w:rsidR="00A851D5" w:rsidRPr="00A851D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1211A56D" w14:textId="151A411D" w:rsidR="00433C54" w:rsidRPr="006B7130" w:rsidRDefault="006B7130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Примером</w:t>
      </w:r>
      <w:r w:rsidR="007C62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конфликта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служит дело </w:t>
      </w:r>
      <w:r w:rsidRPr="006B71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№ 305-ЭС19-16064 по налоговому спору с участием красноярского завода.</w:t>
      </w:r>
    </w:p>
    <w:p w14:paraId="17C563BF" w14:textId="067AD7E7" w:rsidR="00433C54" w:rsidRDefault="0017692E" w:rsidP="006B71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Зимой 2017 года Межрегиональная инспекция ФНС России № 5 по крупнейшим налогоплательщикам провела выездную проверку ОАО «Красноярский завод цветных металлов им. В.Н. Гулидова» за период с января. С 1 декабря 2012 г. по 31 декабря 2014 г. По результатам надзорного органа принято решение о переводе компании в налоговую ситуацию, предложив выплатить задолженность по НДС в размере 1,9 млрд руб. Штрафы в размере 691 млн рублей,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 </w:t>
      </w: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та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кже штраф в размере 23 млн рублей п</w:t>
      </w: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редусмотренный частью 1 статьи 122 Налогового кодекса РФ. </w:t>
      </w:r>
      <w:r w:rsidR="00B529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Налоговые органы предоставили данные где </w:t>
      </w:r>
      <w:r w:rsidR="00B529D5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сказано, 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завод незаконно </w:t>
      </w:r>
      <w:r w:rsidR="00B529D5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>эксплуатировал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</w:t>
      </w:r>
      <w:r w:rsidR="00432FE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>четы по НДС на основании счетов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выставленных ООО </w:t>
      </w:r>
      <w:r w:rsidR="00432FE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«Петербургский ювелирный завод 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Ювелиры Северной столицы» в коммерческих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сделках на поставку золота. </w:t>
      </w:r>
      <w:r w:rsidR="00D42344" w:rsidRPr="00D42344">
        <w:rPr>
          <w:rFonts w:ascii="Times New Roman" w:eastAsia="Calibri" w:hAnsi="Times New Roman" w:cs="Times New Roman"/>
          <w:sz w:val="28"/>
          <w:szCs w:val="28"/>
          <w:lang w:eastAsia="zh-CN"/>
        </w:rPr>
        <w:t>Таким образом, проверка установила, что налогоплательщик участвовал в уклонении от уплаты налогов, связанных с созданием формального оборота поставок драгоценных металлов через цепочку поставщиков, не осуществляющих уплату СКУП в бюджет, и получил неоправданное налоговое преимущество в результате незаконное использование, налоговые льготы.</w:t>
      </w:r>
      <w:r w:rsidR="00BF1B87" w:rsidRPr="00D423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Суд первой инстанции встал на сторону налогоплательщика, апелляционная и кассационная жалоба первой инстанции не поддержала</w:t>
      </w:r>
      <w:r w:rsidR="006B7130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Дело было передано в верховный суд, вследствии чего ВС </w:t>
      </w:r>
      <w:r w:rsidR="006B7130"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>перечислил ошибки, допущенные нижестоящими судами.</w:t>
      </w:r>
    </w:p>
    <w:p w14:paraId="512EE6FF" w14:textId="082A0993" w:rsidR="006B7130" w:rsidRDefault="006B7130" w:rsidP="003723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пояснил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что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выводы апелляции могут быть важны для оценки правомерности применения налоговых вычетов, если вместе с другими обстоятельствами позволяют сделать вывод об участии налогоплательщика в 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организации уклонения от уплаты налогов. НДС в отношении поставки драгоценных металлов ювелирными изделиями лицам, контролируемым этим поставщиком. «Однако, сделав вывод о том, что налогоплательщик получил неоправданное налоговое преимущество в результате согласованных действий с компанией СПБ ЮЗ ЮСС, апелляционный суд лишь воспроизвел содержание решения налогового органа, которое явилось предметом спора по данному делу», - подчеркивает определение.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итоге дело было передано, </w:t>
      </w:r>
      <w:r w:rsidR="004445F0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новое рассмотрение в АС г. Москвы.</w:t>
      </w:r>
    </w:p>
    <w:p w14:paraId="3179FF5E" w14:textId="6032591A" w:rsidR="00250A4E" w:rsidRDefault="00250A4E" w:rsidP="005C676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Эксперты считают, что система правовой ответственности по отношению к налогоплательщику за налоговые проступки довольно сложна и мало разработана</w:t>
      </w:r>
      <w:r w:rsidR="00A4561E">
        <w:rPr>
          <w:rFonts w:ascii="Times New Roman" w:eastAsia="Calibri" w:hAnsi="Times New Roman" w:cs="Times New Roman"/>
          <w:sz w:val="28"/>
          <w:szCs w:val="28"/>
          <w:lang w:eastAsia="zh-CN"/>
        </w:rPr>
        <w:t>, так как отсутствует дифференциация взысканий в зависимости от субъективной стороны правонарушений</w:t>
      </w:r>
      <w:r w:rsidR="009517F5" w:rsidRPr="009517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9517F5">
        <w:rPr>
          <w:rFonts w:ascii="Times New Roman" w:eastAsia="Calibri" w:hAnsi="Times New Roman" w:cs="Times New Roman"/>
          <w:sz w:val="28"/>
          <w:szCs w:val="28"/>
          <w:lang w:eastAsia="zh-CN"/>
        </w:rPr>
        <w:t>Помимо всего прочего присутствует неопределённость состава и полное или частичное игнорирование принципа презумпции невиновности в системе налоговой ответственности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>Также в системе отсутствует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>ряд достаточно важных юридических процедур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Всё это требует пересмотра или полной замены правил, которые регулируют правовую ответственность налогоплательщика или налоговых органов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F139CA" w:rsidRPr="00F139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139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малой проблемой считается нестабильность 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налогового законодательства, когда вносятся изменения и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поправки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закон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имеют обратную силу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или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когда государство отменяет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некоторые льготы,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были введены ранее</w:t>
      </w:r>
      <w:r w:rsidR="00587D34">
        <w:rPr>
          <w:rFonts w:ascii="Times New Roman" w:eastAsia="Calibri" w:hAnsi="Times New Roman" w:cs="Times New Roman"/>
          <w:sz w:val="28"/>
          <w:szCs w:val="28"/>
          <w:lang w:eastAsia="zh-CN"/>
        </w:rPr>
        <w:t>, а это создаёт дополнительный риск для инвесторов</w:t>
      </w:r>
      <w:r w:rsidR="00587D34" w:rsidRPr="00587D3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Государственные органы в течении длительного времени должны быть гарантом высокой стабильности налогов и правил их взимания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Не следует пересматривать налоговое законодательство чаще чем раз в пару лет, потому что это может привести к еще большей нестабильности в налогообложении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При всём при этом налогоплательщики должны быть заранее уведомлены о предстоящих изменениях, чтобы документально ко всему подготовиться, а не ставиться перед существующим фактом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6911FFA" w14:textId="456CBEB9" w:rsidR="007D3D4D" w:rsidRDefault="007D3D4D" w:rsidP="005C676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Существенной проблемой по сей день остаётся возможность рисков главенствующих субъектов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том числе возможность финансовых потерь, 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которые связаны с расходованием и формирование государственных денежных средств.</w:t>
      </w:r>
      <w:r w:rsidR="00B47B3F" w:rsidRP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Компании или 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>предприятия,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осуществляют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свою деятельность с какой-то вероятностью могут пострадать от негативного воздействия фискальных факторов</w:t>
      </w:r>
      <w:r w:rsidR="00DA51EA" w:rsidRP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Следствием такого воздействия </w:t>
      </w:r>
      <w:r w:rsidR="00351DC7">
        <w:rPr>
          <w:rFonts w:ascii="Times New Roman" w:eastAsia="Calibri" w:hAnsi="Times New Roman" w:cs="Times New Roman"/>
          <w:sz w:val="28"/>
          <w:szCs w:val="28"/>
          <w:lang w:eastAsia="zh-CN"/>
        </w:rPr>
        <w:t>могут стать штрафы, взыскания и другие виды экономических и финансовых потерь</w:t>
      </w:r>
      <w:r w:rsidR="00351DC7" w:rsidRPr="00351DC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F273ADB" w14:textId="389F3719" w:rsidR="004B2E6B" w:rsidRDefault="00774F45" w:rsidP="004B2E6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Исходя из вышесказанного возникает большая необходимость в создании мер, направленных на значительное снижение или минимизацию рисков</w:t>
      </w:r>
      <w:r w:rsidRPr="00774F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Уменьшение рисков неизбежно повлечет за собой повышение всех сфер хозяйствующих субъектов и их налоговой </w:t>
      </w:r>
      <w:r w:rsidR="004B2E6B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безопасности</w:t>
      </w:r>
      <w:r w:rsidR="004B2E6B" w:rsidRPr="00AD679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[</w:t>
      </w:r>
      <w:r w:rsidR="00AD6797" w:rsidRPr="00AD6797">
        <w:rPr>
          <w:rFonts w:ascii="Times New Roman" w:eastAsia="Calibri" w:hAnsi="Times New Roman" w:cs="Times New Roman"/>
          <w:sz w:val="28"/>
          <w:szCs w:val="28"/>
          <w:lang w:eastAsia="zh-CN"/>
        </w:rPr>
        <w:t>3]</w:t>
      </w:r>
      <w:r w:rsidRPr="00774F4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F118B14" w14:textId="48B3C20A" w:rsidR="004B2E6B" w:rsidRPr="00DC063C" w:rsidRDefault="004B2E6B" w:rsidP="004B2E6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Касательно организаций следует обратить больше внимания на политику амортизации в системе </w:t>
      </w:r>
      <w:r w:rsidR="00C016A9">
        <w:rPr>
          <w:rFonts w:ascii="Times New Roman" w:eastAsia="Calibri" w:hAnsi="Times New Roman" w:cs="Times New Roman"/>
          <w:sz w:val="28"/>
          <w:szCs w:val="28"/>
          <w:lang w:eastAsia="zh-CN"/>
        </w:rPr>
        <w:t>налогообложения</w:t>
      </w:r>
      <w:r w:rsidRPr="004B2E6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C0A67" w:rsidRPr="000C0A6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C0A67">
        <w:rPr>
          <w:rFonts w:ascii="Times New Roman" w:eastAsia="Calibri" w:hAnsi="Times New Roman" w:cs="Times New Roman"/>
          <w:sz w:val="28"/>
          <w:szCs w:val="28"/>
          <w:lang w:eastAsia="zh-CN"/>
        </w:rPr>
        <w:t>Политика амортизации тесно связана с налогообложением так, как она определяет уровни налогооблагаемой базы по налогам на имущество и рассчитывает прибыль</w:t>
      </w:r>
      <w:r w:rsidR="000C0A67" w:rsidRPr="000C0A6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C063C">
        <w:rPr>
          <w:rFonts w:ascii="Times New Roman" w:eastAsia="Calibri" w:hAnsi="Times New Roman" w:cs="Times New Roman"/>
          <w:sz w:val="28"/>
          <w:szCs w:val="28"/>
          <w:lang w:eastAsia="zh-CN"/>
        </w:rPr>
        <w:t>Для лучшей методики решения проблем необходимо практическое участие квалифицированных оценщиков с целью оптимизации и доработки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DC063C">
        <w:rPr>
          <w:rFonts w:ascii="Times New Roman" w:eastAsia="Calibri" w:hAnsi="Times New Roman" w:cs="Times New Roman"/>
          <w:sz w:val="28"/>
          <w:szCs w:val="28"/>
          <w:lang w:eastAsia="zh-CN"/>
        </w:rPr>
        <w:t>Достигается это более полной информационной базой для управления фондом амортизации, а также с помощью профессиональных кадров и их опыта работы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F4C7D2B" w14:textId="050D0981" w:rsidR="00DD3F03" w:rsidRPr="00947C22" w:rsidRDefault="00450D13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70B8">
        <w:t xml:space="preserve"> </w:t>
      </w:r>
      <w:r w:rsidR="003C1944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Учитывая теоретические данные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, можно уви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деть, что ускоренная амортизационная политика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это перевод стоимости актива в себестоимость продукции 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быстрым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темпом, 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потому что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амортизационная стоимость распределяется на расходы по налогу на прибыль. 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Таким образом, налоговое законодательство регулирует вопрос строго ускоренной амортизации затрат на амортизацию оборудования. Еще один вид поддержки - это амортизационная премия, то есть мера, которая влияет на порядок исчисления и уплаты налоговой базы по налогу на прибыль и отражается в отнесении расходов единовременно из стоимости ч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асти стоимости основных средств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приобретенные и д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ругие инвестиции в размере 10%. В зависимости от группы амортизации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10% 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могут повысить 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до 30%.</w:t>
      </w:r>
    </w:p>
    <w:p w14:paraId="1590087F" w14:textId="1C91C18C" w:rsidR="004B6FAC" w:rsidRDefault="004B463C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Стоит отметить что по сегодняшний день одним из самых проблемных и неудобных видов налогов является налог на недвижимость</w:t>
      </w:r>
      <w:r w:rsidR="004B6FAC" w:rsidRPr="002B707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Неудобство и проблема этого налога в том, что это прямой налог, что значит, что налоговая система не рассматривает его снижения на какую-либо сумму вычета</w:t>
      </w:r>
      <w:r w:rsidRPr="004B463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06069" w:rsidRPr="00C060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06069">
        <w:rPr>
          <w:rFonts w:ascii="Times New Roman" w:eastAsia="Calibri" w:hAnsi="Times New Roman" w:cs="Times New Roman"/>
          <w:sz w:val="28"/>
          <w:szCs w:val="28"/>
          <w:lang w:eastAsia="zh-CN"/>
        </w:rPr>
        <w:t>Помимо всего прочего этот налог усугубляет то, что он взимается еще и с транспорта, что довольно-таки несправедливо в отношении налогоплательщика, потому что по факту произв</w:t>
      </w:r>
      <w:r w:rsidR="00DD39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одится двойное взимание налога с одних и тех же субъектов </w:t>
      </w:r>
      <w:r w:rsidR="00E97F6C">
        <w:rPr>
          <w:rFonts w:ascii="Times New Roman" w:eastAsia="Calibri" w:hAnsi="Times New Roman" w:cs="Times New Roman"/>
          <w:sz w:val="28"/>
          <w:szCs w:val="28"/>
          <w:lang w:eastAsia="zh-CN"/>
        </w:rPr>
        <w:t>налогообложения</w:t>
      </w:r>
      <w:r w:rsidR="00667146" w:rsidRPr="006671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[2]</w:t>
      </w:r>
      <w:r w:rsidR="00DD3960" w:rsidRPr="00DD396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8EF293C" w14:textId="773E9EF2" w:rsidR="00476474" w:rsidRPr="00E81A36" w:rsidRDefault="00667146" w:rsidP="00E81A3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Помимо других проблем в налоговой системе существует проблема борьбы с производством</w:t>
      </w:r>
      <w:r w:rsidR="007B70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оборотом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нелегальных алкогольных напитков и табачных изделий</w:t>
      </w:r>
      <w:r w:rsidRPr="0066714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E81A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подсчетам экспертов доход нелегальных производителей табака и алкоголя в год составляет порядка трехсот миллионов рублей</w:t>
      </w:r>
      <w:r w:rsidR="00E81A36" w:rsidRPr="00E81A3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Подобная незаконная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параллельная деятельность наносит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весьма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значительный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вред 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легальным производителям алкогольной продукции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табачной продукции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потому как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они н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е получают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большую 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долю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своей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прибыли,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так же,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как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региональный бюджет.</w:t>
      </w:r>
      <w:r w:rsidR="00476474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76474" w:rsidRPr="00450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Рынок нелегальных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сигарет и</w:t>
      </w:r>
      <w:r w:rsidR="00476474" w:rsidRPr="00450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алкоголя вырос в 15 раз за последние 3 года.</w:t>
      </w:r>
      <w:r w:rsidR="009710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76474" w:rsidRPr="008F4617">
        <w:t xml:space="preserve"> </w:t>
      </w:r>
      <w:r w:rsidR="007E2A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Неизменным лидером поставок контрафактной продукции в этом году как и в </w:t>
      </w:r>
      <w:r w:rsidR="009710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предыдущем</w:t>
      </w:r>
      <w:r w:rsidR="00476474"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, остается Беларусь (35,9 процента «черного» рынка), производящая табачных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и алкогольных </w:t>
      </w:r>
      <w:r w:rsidR="00476474"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изделий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вдвое больше, чем потребляет. </w:t>
      </w:r>
    </w:p>
    <w:p w14:paraId="16268C12" w14:textId="1CE452AC" w:rsidR="00513C5A" w:rsidRDefault="00476474" w:rsidP="009D5D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Какой вред наносит государству рынок нелегальной продукции? Во-первых, на «серые» продукты не уплачиваются налоги в бюджет. В то же время, согласно статистике, табачная промышленность в России занимает второе место после нефтегазовой отрасли по формированию доходов федерального бюджета. </w:t>
      </w:r>
      <w:r w:rsidR="004943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Налоговые поступления от акцизов на 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изделия</w:t>
      </w:r>
      <w:r w:rsidR="004943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из табака чуть больше чем в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полтора раза превышают поступления от акцизов на алкоголь</w:t>
      </w:r>
      <w:r w:rsidR="008509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ную продукцию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5468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2018 года сумма уплаченных в федеральный бюджет акцизов составила 583 млрд рублей плюс 118 млрд рублей НДС.</w:t>
      </w:r>
      <w:r w:rsidR="00770800" w:rsidRPr="00C047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0091481D" w14:textId="5BA26855" w:rsidR="00DD3F03" w:rsidRPr="0092215E" w:rsidRDefault="00A10FD8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Безусловно все вышеизложенное это всего лишь довольно небольшой круг острых проблем налоговой политики Российской Федерации, которые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lastRenderedPageBreak/>
        <w:t>заставляют волноваться налогоплательщиков. Также не следует забывать, что помимо фискальных и регулирующих функций, налоги играют очень большую социальную роль в обществе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, по сути являясь звеном между обществом и государством</w:t>
      </w:r>
      <w:r w:rsidR="0092215E" w:rsidRP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Каждый человек в мире зависит о налоговой политики страны в которой он живет и работает</w:t>
      </w:r>
      <w:r w:rsidR="0092215E" w:rsidRP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Поэтому чем добросовестнее будут соблюдаться все правила, установленные законом, тем эффективнее будет форма взаимодействия госструктур и налогоплательщиков.</w:t>
      </w:r>
      <w:bookmarkStart w:id="1" w:name="_GoBack"/>
      <w:bookmarkEnd w:id="1"/>
    </w:p>
    <w:p w14:paraId="733EA588" w14:textId="7593E3FF" w:rsidR="00850850" w:rsidRDefault="00850850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59E9304" w14:textId="5FAE0FE9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A53DDB" w14:textId="6542B6B9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8D1F0" w14:textId="0F4AD243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471014C" w14:textId="3E4B99D9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5A007B" w14:textId="18D1690B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B7964D" w14:textId="020DD082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04B81B" w14:textId="3B17DC72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70DCD4" w14:textId="0DD47B93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955F9D" w14:textId="1C81E021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802083" w14:textId="776C2936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7604D7" w14:textId="49A46846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4119CD" w14:textId="3387952E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72D907" w14:textId="17FCE126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562F2B" w14:textId="268613AA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AD1643" w14:textId="0B3BAFFB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DAE709" w14:textId="67DE01BF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F5EACB" w14:textId="573D4D34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5C7AD76" w14:textId="38568573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4A50BC" w14:textId="400832D5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92FCDC" w14:textId="42FB317A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9A5FFF2" w14:textId="77777777" w:rsidR="00667146" w:rsidRDefault="00667146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90DE53" w14:textId="35BDBB73" w:rsidR="008F4617" w:rsidRDefault="008F4617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7E6F58" w14:textId="52C3F6C6" w:rsidR="005B22FE" w:rsidRPr="00303ACA" w:rsidRDefault="005B22FE" w:rsidP="00303AC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303ACA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lastRenderedPageBreak/>
        <w:t>Список литературы</w:t>
      </w:r>
    </w:p>
    <w:p w14:paraId="415F2235" w14:textId="30FE61EE" w:rsidR="00303ACA" w:rsidRPr="009915E1" w:rsidRDefault="00303ACA" w:rsidP="00993E99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hanging="112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>Демин</w:t>
      </w:r>
      <w:r w:rsidRPr="009915E1">
        <w:rPr>
          <w:rFonts w:cs="Times New Roman"/>
          <w:spacing w:val="19"/>
          <w:szCs w:val="28"/>
        </w:rPr>
        <w:t xml:space="preserve"> </w:t>
      </w:r>
      <w:r w:rsidRPr="009915E1">
        <w:rPr>
          <w:rFonts w:cs="Times New Roman"/>
          <w:szCs w:val="28"/>
        </w:rPr>
        <w:t>А.В.</w:t>
      </w:r>
      <w:r w:rsidRPr="009915E1">
        <w:rPr>
          <w:rFonts w:cs="Times New Roman"/>
          <w:spacing w:val="19"/>
          <w:szCs w:val="28"/>
        </w:rPr>
        <w:t xml:space="preserve"> </w:t>
      </w:r>
      <w:r w:rsidR="00C42A4B" w:rsidRPr="009915E1">
        <w:rPr>
          <w:rFonts w:cs="Times New Roman"/>
          <w:szCs w:val="28"/>
        </w:rPr>
        <w:t xml:space="preserve">Отягчающие обстоятельства как элемент индивидуализации наказания и инструмент, стимулирующий налоговый комплайенс: доклад, тезисы доклада </w:t>
      </w:r>
      <w:r w:rsidRPr="009915E1">
        <w:rPr>
          <w:rFonts w:cs="Times New Roman"/>
          <w:szCs w:val="28"/>
        </w:rPr>
        <w:t>/</w:t>
      </w:r>
      <w:r w:rsidRPr="009915E1">
        <w:rPr>
          <w:rFonts w:cs="Times New Roman"/>
          <w:spacing w:val="-57"/>
          <w:szCs w:val="28"/>
        </w:rPr>
        <w:t xml:space="preserve"> </w:t>
      </w:r>
      <w:r w:rsidRPr="009915E1">
        <w:rPr>
          <w:rFonts w:cs="Times New Roman"/>
          <w:szCs w:val="28"/>
        </w:rPr>
        <w:t>А.В.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Демин // Налоги.</w:t>
      </w:r>
      <w:r w:rsidRPr="009915E1">
        <w:rPr>
          <w:rFonts w:cs="Times New Roman"/>
          <w:spacing w:val="1"/>
          <w:szCs w:val="28"/>
        </w:rPr>
        <w:t xml:space="preserve"> </w:t>
      </w:r>
      <w:r w:rsidRPr="009915E1">
        <w:rPr>
          <w:rFonts w:cs="Times New Roman"/>
          <w:szCs w:val="28"/>
        </w:rPr>
        <w:t>-</w:t>
      </w:r>
      <w:r w:rsidRPr="009915E1">
        <w:rPr>
          <w:rFonts w:cs="Times New Roman"/>
          <w:spacing w:val="-1"/>
          <w:szCs w:val="28"/>
        </w:rPr>
        <w:t xml:space="preserve"> </w:t>
      </w:r>
      <w:r w:rsidR="00C42A4B" w:rsidRPr="009915E1">
        <w:rPr>
          <w:rFonts w:cs="Times New Roman"/>
          <w:szCs w:val="28"/>
        </w:rPr>
        <w:t>202</w:t>
      </w:r>
      <w:r w:rsidRPr="009915E1">
        <w:rPr>
          <w:rFonts w:cs="Times New Roman"/>
          <w:szCs w:val="28"/>
        </w:rPr>
        <w:t>0. -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№3. -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С.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6-9.</w:t>
      </w:r>
    </w:p>
    <w:p w14:paraId="79B016C7" w14:textId="6C1B041D" w:rsidR="00303ACA" w:rsidRPr="009915E1" w:rsidRDefault="007B7267" w:rsidP="00F9011D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hanging="112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>Аверин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А.В.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F9011D" w:rsidRPr="009915E1">
        <w:rPr>
          <w:rFonts w:cs="Times New Roman"/>
          <w:szCs w:val="28"/>
        </w:rPr>
        <w:t>Налоговая система: теория и тенденции развития</w:t>
      </w:r>
      <w:r w:rsidR="00F9011D" w:rsidRPr="009915E1">
        <w:rPr>
          <w:rFonts w:cs="Times New Roman"/>
          <w:spacing w:val="14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/</w:t>
      </w:r>
      <w:r w:rsidR="00303ACA" w:rsidRPr="009915E1">
        <w:rPr>
          <w:rFonts w:cs="Times New Roman"/>
          <w:spacing w:val="18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А.В.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E25902">
        <w:rPr>
          <w:rFonts w:cs="Times New Roman"/>
          <w:szCs w:val="28"/>
        </w:rPr>
        <w:t>Аверин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//</w:t>
      </w:r>
      <w:r w:rsidR="00303ACA" w:rsidRPr="009915E1">
        <w:rPr>
          <w:rFonts w:cs="Times New Roman"/>
          <w:spacing w:val="16"/>
          <w:szCs w:val="28"/>
        </w:rPr>
        <w:t xml:space="preserve"> </w:t>
      </w:r>
      <w:r w:rsidR="00FC61FA" w:rsidRPr="009915E1">
        <w:rPr>
          <w:rFonts w:cs="Times New Roman"/>
          <w:szCs w:val="28"/>
        </w:rPr>
        <w:t>Фи</w:t>
      </w:r>
      <w:r w:rsidR="00303ACA" w:rsidRPr="009915E1">
        <w:rPr>
          <w:rFonts w:cs="Times New Roman"/>
          <w:szCs w:val="28"/>
        </w:rPr>
        <w:t>нансы. -</w:t>
      </w:r>
      <w:r w:rsidR="00303ACA" w:rsidRPr="009915E1">
        <w:rPr>
          <w:rFonts w:cs="Times New Roman"/>
          <w:spacing w:val="-2"/>
          <w:szCs w:val="28"/>
        </w:rPr>
        <w:t xml:space="preserve"> </w:t>
      </w:r>
      <w:r w:rsidR="00E25902">
        <w:rPr>
          <w:rFonts w:cs="Times New Roman"/>
          <w:szCs w:val="28"/>
        </w:rPr>
        <w:t>2019</w:t>
      </w:r>
      <w:r w:rsidR="00303ACA" w:rsidRPr="009915E1">
        <w:rPr>
          <w:rFonts w:cs="Times New Roman"/>
          <w:szCs w:val="28"/>
        </w:rPr>
        <w:t>. -</w:t>
      </w:r>
      <w:r w:rsidR="00303ACA" w:rsidRPr="009915E1">
        <w:rPr>
          <w:rFonts w:cs="Times New Roman"/>
          <w:spacing w:val="-1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№4. -</w:t>
      </w:r>
      <w:r w:rsidR="00303ACA" w:rsidRPr="009915E1">
        <w:rPr>
          <w:rFonts w:cs="Times New Roman"/>
          <w:spacing w:val="-1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С. 31-34.</w:t>
      </w:r>
    </w:p>
    <w:p w14:paraId="3C1AEE85" w14:textId="70B66891" w:rsidR="004D2675" w:rsidRPr="009915E1" w:rsidRDefault="004D2675" w:rsidP="004D2675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 xml:space="preserve">Пименов, Н. А.  Налоговое </w:t>
      </w:r>
      <w:r w:rsidR="00F77E7F" w:rsidRPr="009915E1">
        <w:rPr>
          <w:rFonts w:cs="Times New Roman"/>
          <w:szCs w:val="28"/>
        </w:rPr>
        <w:t>планирование:</w:t>
      </w:r>
      <w:r w:rsidRPr="009915E1">
        <w:rPr>
          <w:rFonts w:cs="Times New Roman"/>
          <w:szCs w:val="28"/>
        </w:rPr>
        <w:t xml:space="preserve"> учебник и практикум для академического бакалавриата / Н. А. Пименов, С. С. Демин. — </w:t>
      </w:r>
      <w:r w:rsidR="00F77E7F" w:rsidRPr="009915E1">
        <w:rPr>
          <w:rFonts w:cs="Times New Roman"/>
          <w:szCs w:val="28"/>
        </w:rPr>
        <w:t>Москва:</w:t>
      </w:r>
      <w:r w:rsidRPr="009915E1">
        <w:rPr>
          <w:rFonts w:cs="Times New Roman"/>
          <w:szCs w:val="28"/>
        </w:rPr>
        <w:t xml:space="preserve"> Издательство Юрайт, 2019. — С 34-36</w:t>
      </w:r>
      <w:r w:rsidR="00AC7DD0" w:rsidRPr="009915E1">
        <w:rPr>
          <w:rFonts w:cs="Times New Roman"/>
          <w:szCs w:val="28"/>
        </w:rPr>
        <w:t>.</w:t>
      </w:r>
    </w:p>
    <w:p w14:paraId="03F9FA64" w14:textId="49A2F1AE" w:rsidR="000B4D2B" w:rsidRPr="009915E1" w:rsidRDefault="00A07FA1" w:rsidP="000B4D2B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 xml:space="preserve">Ракитина И. С., Березина Н. Н. - Государственные и муниципальные финансы. Учебник и практикум для академического бакалавриата - М.:Издательство Юрайт </w:t>
      </w:r>
      <w:r w:rsidR="00A346EC">
        <w:rPr>
          <w:rFonts w:cs="Times New Roman"/>
          <w:szCs w:val="28"/>
        </w:rPr>
        <w:t>–</w:t>
      </w:r>
      <w:r w:rsidRPr="009915E1">
        <w:rPr>
          <w:rFonts w:cs="Times New Roman"/>
          <w:szCs w:val="28"/>
        </w:rPr>
        <w:t xml:space="preserve"> 2019</w:t>
      </w:r>
      <w:r w:rsidR="00A346EC">
        <w:rPr>
          <w:rFonts w:cs="Times New Roman"/>
          <w:szCs w:val="28"/>
        </w:rPr>
        <w:t xml:space="preserve"> С. 35</w:t>
      </w:r>
    </w:p>
    <w:p w14:paraId="5E753A0E" w14:textId="0CF8E66C" w:rsidR="00303ACA" w:rsidRPr="00981313" w:rsidRDefault="00C06D8C" w:rsidP="0098131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32"/>
          <w:szCs w:val="28"/>
          <w:lang w:val="en-US" w:eastAsia="zh-CN"/>
        </w:rPr>
      </w:pPr>
      <w:r w:rsidRPr="00263946">
        <w:rPr>
          <w:rFonts w:ascii="Times New Roman" w:hAnsi="Times New Roman" w:cs="Times New Roman"/>
          <w:i/>
          <w:color w:val="000000"/>
          <w:sz w:val="28"/>
          <w:szCs w:val="27"/>
          <w:lang w:val="en-US"/>
        </w:rPr>
        <w:t>References</w:t>
      </w:r>
    </w:p>
    <w:p w14:paraId="79E93C98" w14:textId="643C0BF8" w:rsidR="00263946" w:rsidRDefault="00353E23" w:rsidP="00353E23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  <w:lang w:val="en-US"/>
        </w:rPr>
      </w:pPr>
      <w:r w:rsidRPr="00353E23">
        <w:rPr>
          <w:rFonts w:cs="Times New Roman"/>
          <w:szCs w:val="28"/>
          <w:lang w:val="en-US"/>
        </w:rPr>
        <w:t>Demin A.V. Aggravating circumstances as an element of individualization of punishment and a tool for stimulating tax compliance: report, abstracts / A.V. Demi</w:t>
      </w:r>
      <w:r w:rsidR="000A32C2">
        <w:rPr>
          <w:rFonts w:cs="Times New Roman"/>
          <w:szCs w:val="28"/>
          <w:lang w:val="en-US"/>
        </w:rPr>
        <w:t>n // Taxes. - 2020. - No. 3. - P</w:t>
      </w:r>
      <w:r w:rsidRPr="00353E23">
        <w:rPr>
          <w:rFonts w:cs="Times New Roman"/>
          <w:szCs w:val="28"/>
          <w:lang w:val="en-US"/>
        </w:rPr>
        <w:t>. 6-9.</w:t>
      </w:r>
    </w:p>
    <w:p w14:paraId="553F2CB8" w14:textId="453F3D31" w:rsidR="00C84234" w:rsidRDefault="00C84234" w:rsidP="00C84234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  <w:lang w:val="en-US"/>
        </w:rPr>
      </w:pPr>
      <w:r w:rsidRPr="00C84234">
        <w:rPr>
          <w:rFonts w:cs="Times New Roman"/>
          <w:szCs w:val="28"/>
          <w:lang w:val="en-US"/>
        </w:rPr>
        <w:t xml:space="preserve">Averin A.V. Tax system: theory and development trends / A.V. Averin </w:t>
      </w:r>
      <w:r w:rsidR="000A32C2">
        <w:rPr>
          <w:rFonts w:cs="Times New Roman"/>
          <w:szCs w:val="28"/>
          <w:lang w:val="en-US"/>
        </w:rPr>
        <w:t>// Finance. - 2019. - No. 4. - P</w:t>
      </w:r>
      <w:r w:rsidRPr="00C84234">
        <w:rPr>
          <w:rFonts w:cs="Times New Roman"/>
          <w:szCs w:val="28"/>
          <w:lang w:val="en-US"/>
        </w:rPr>
        <w:t>. 31-34.</w:t>
      </w:r>
    </w:p>
    <w:p w14:paraId="15B7119C" w14:textId="7CD2FC29" w:rsidR="00902615" w:rsidRDefault="000A32C2" w:rsidP="000A32C2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  <w:lang w:val="en-US"/>
        </w:rPr>
      </w:pPr>
      <w:r w:rsidRPr="000A32C2">
        <w:rPr>
          <w:rFonts w:cs="Times New Roman"/>
          <w:szCs w:val="28"/>
          <w:lang w:val="en-US"/>
        </w:rPr>
        <w:t>Pimenov, N. A. Tax planning: textbook and workshop for the academic baccalaureate / N. A. Pimenov, S. S. Demin. - Moscow: Yuray</w:t>
      </w:r>
      <w:r>
        <w:rPr>
          <w:rFonts w:cs="Times New Roman"/>
          <w:szCs w:val="28"/>
          <w:lang w:val="en-US"/>
        </w:rPr>
        <w:t>t Publishing House, 2019. - P</w:t>
      </w:r>
      <w:r w:rsidRPr="000A32C2">
        <w:rPr>
          <w:rFonts w:cs="Times New Roman"/>
          <w:szCs w:val="28"/>
          <w:lang w:val="en-US"/>
        </w:rPr>
        <w:t xml:space="preserve"> 34-36</w:t>
      </w:r>
      <w:r w:rsidR="00902615" w:rsidRPr="00902615">
        <w:rPr>
          <w:rFonts w:cs="Times New Roman"/>
          <w:szCs w:val="28"/>
          <w:lang w:val="en-US"/>
        </w:rPr>
        <w:t>.</w:t>
      </w:r>
    </w:p>
    <w:p w14:paraId="7F0FF561" w14:textId="47961647" w:rsidR="00902615" w:rsidRPr="00263946" w:rsidRDefault="004471CE" w:rsidP="004471CE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  <w:lang w:val="en-US"/>
        </w:rPr>
      </w:pPr>
      <w:r w:rsidRPr="004471CE">
        <w:rPr>
          <w:rFonts w:cs="Times New Roman"/>
          <w:szCs w:val="28"/>
          <w:lang w:val="en-US"/>
        </w:rPr>
        <w:t xml:space="preserve">Rakitina IS, Berezina NN - State and municipal finance. Textbook and Workshop for Academic Bachelor's Degree - M.: Yurayt Publishing House </w:t>
      </w:r>
      <w:r>
        <w:rPr>
          <w:rFonts w:cs="Times New Roman"/>
          <w:szCs w:val="28"/>
          <w:lang w:val="en-US"/>
        </w:rPr>
        <w:t>–</w:t>
      </w:r>
      <w:r w:rsidRPr="004471CE">
        <w:rPr>
          <w:rFonts w:cs="Times New Roman"/>
          <w:szCs w:val="28"/>
          <w:lang w:val="en-US"/>
        </w:rPr>
        <w:t xml:space="preserve"> 2019</w:t>
      </w:r>
      <w:r>
        <w:rPr>
          <w:rFonts w:cs="Times New Roman"/>
          <w:szCs w:val="28"/>
          <w:lang w:val="en-US"/>
        </w:rPr>
        <w:t>. P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 xml:space="preserve"> 35</w:t>
      </w:r>
    </w:p>
    <w:p w14:paraId="43D7FC88" w14:textId="77777777" w:rsidR="00303ACA" w:rsidRPr="00263946" w:rsidRDefault="00303ACA" w:rsidP="00303A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zh-CN"/>
        </w:rPr>
      </w:pPr>
    </w:p>
    <w:sectPr w:rsidR="00303ACA" w:rsidRPr="00263946" w:rsidSect="0008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C028" w14:textId="77777777" w:rsidR="00EF33E9" w:rsidRDefault="00EF33E9" w:rsidP="003927D4">
      <w:pPr>
        <w:spacing w:after="0" w:line="240" w:lineRule="auto"/>
      </w:pPr>
      <w:r>
        <w:separator/>
      </w:r>
    </w:p>
  </w:endnote>
  <w:endnote w:type="continuationSeparator" w:id="0">
    <w:p w14:paraId="39EFBB44" w14:textId="77777777" w:rsidR="00EF33E9" w:rsidRDefault="00EF33E9" w:rsidP="0039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E0E2" w14:textId="77777777" w:rsidR="00EF33E9" w:rsidRDefault="00EF33E9" w:rsidP="003927D4">
      <w:pPr>
        <w:spacing w:after="0" w:line="240" w:lineRule="auto"/>
      </w:pPr>
      <w:r>
        <w:separator/>
      </w:r>
    </w:p>
  </w:footnote>
  <w:footnote w:type="continuationSeparator" w:id="0">
    <w:p w14:paraId="66A83155" w14:textId="77777777" w:rsidR="00EF33E9" w:rsidRDefault="00EF33E9" w:rsidP="0039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88D"/>
    <w:multiLevelType w:val="hybridMultilevel"/>
    <w:tmpl w:val="85745522"/>
    <w:lvl w:ilvl="0" w:tplc="85A21536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AB2D0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52726DCC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B64E7D60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5676571E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9EBC111E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13923C26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EF8ED0E2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17A44DA2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45A03BE4"/>
    <w:multiLevelType w:val="hybridMultilevel"/>
    <w:tmpl w:val="EF566F3C"/>
    <w:lvl w:ilvl="0" w:tplc="423C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91DCD"/>
    <w:multiLevelType w:val="hybridMultilevel"/>
    <w:tmpl w:val="85745522"/>
    <w:lvl w:ilvl="0" w:tplc="85A21536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AB2D0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52726DCC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B64E7D60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5676571E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9EBC111E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13923C26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EF8ED0E2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17A44DA2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74DC724B"/>
    <w:multiLevelType w:val="hybridMultilevel"/>
    <w:tmpl w:val="972A970E"/>
    <w:lvl w:ilvl="0" w:tplc="9E2A22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B4"/>
    <w:rsid w:val="00006A8E"/>
    <w:rsid w:val="00006B65"/>
    <w:rsid w:val="00015D68"/>
    <w:rsid w:val="00023E5E"/>
    <w:rsid w:val="00030748"/>
    <w:rsid w:val="000329E4"/>
    <w:rsid w:val="00035D2B"/>
    <w:rsid w:val="00041049"/>
    <w:rsid w:val="00055A30"/>
    <w:rsid w:val="00057E73"/>
    <w:rsid w:val="000800E9"/>
    <w:rsid w:val="00085440"/>
    <w:rsid w:val="00092278"/>
    <w:rsid w:val="000A2E85"/>
    <w:rsid w:val="000A32C2"/>
    <w:rsid w:val="000B0016"/>
    <w:rsid w:val="000B4D2B"/>
    <w:rsid w:val="000C0A67"/>
    <w:rsid w:val="000D09BA"/>
    <w:rsid w:val="000D2328"/>
    <w:rsid w:val="000D4BC9"/>
    <w:rsid w:val="000E5C4F"/>
    <w:rsid w:val="000F32F7"/>
    <w:rsid w:val="00100683"/>
    <w:rsid w:val="00100A97"/>
    <w:rsid w:val="00102227"/>
    <w:rsid w:val="001102F5"/>
    <w:rsid w:val="00110782"/>
    <w:rsid w:val="00111B60"/>
    <w:rsid w:val="001402F0"/>
    <w:rsid w:val="001676CB"/>
    <w:rsid w:val="00170F57"/>
    <w:rsid w:val="0017692E"/>
    <w:rsid w:val="00187A72"/>
    <w:rsid w:val="001F3248"/>
    <w:rsid w:val="00211621"/>
    <w:rsid w:val="00221510"/>
    <w:rsid w:val="0022156F"/>
    <w:rsid w:val="00222F79"/>
    <w:rsid w:val="002245BC"/>
    <w:rsid w:val="00250A4E"/>
    <w:rsid w:val="00256D41"/>
    <w:rsid w:val="00263946"/>
    <w:rsid w:val="00273AFD"/>
    <w:rsid w:val="00296164"/>
    <w:rsid w:val="002A164E"/>
    <w:rsid w:val="002B27E9"/>
    <w:rsid w:val="002B707F"/>
    <w:rsid w:val="002D6191"/>
    <w:rsid w:val="002E036E"/>
    <w:rsid w:val="00301822"/>
    <w:rsid w:val="00303ACA"/>
    <w:rsid w:val="003228FE"/>
    <w:rsid w:val="00330CDA"/>
    <w:rsid w:val="00333EB1"/>
    <w:rsid w:val="00341B4B"/>
    <w:rsid w:val="0034731D"/>
    <w:rsid w:val="00351DC7"/>
    <w:rsid w:val="00353E23"/>
    <w:rsid w:val="0036779E"/>
    <w:rsid w:val="00372309"/>
    <w:rsid w:val="003927D4"/>
    <w:rsid w:val="003970B8"/>
    <w:rsid w:val="003A527B"/>
    <w:rsid w:val="003B4622"/>
    <w:rsid w:val="003C1944"/>
    <w:rsid w:val="003C4473"/>
    <w:rsid w:val="004015FF"/>
    <w:rsid w:val="004019C4"/>
    <w:rsid w:val="00403DC1"/>
    <w:rsid w:val="004113F5"/>
    <w:rsid w:val="00432305"/>
    <w:rsid w:val="00432FE7"/>
    <w:rsid w:val="00433C54"/>
    <w:rsid w:val="004445F0"/>
    <w:rsid w:val="004468B8"/>
    <w:rsid w:val="004471CE"/>
    <w:rsid w:val="0044729F"/>
    <w:rsid w:val="00450D13"/>
    <w:rsid w:val="00461A40"/>
    <w:rsid w:val="00463BE3"/>
    <w:rsid w:val="004755F9"/>
    <w:rsid w:val="00476474"/>
    <w:rsid w:val="00481916"/>
    <w:rsid w:val="004943EE"/>
    <w:rsid w:val="004956FF"/>
    <w:rsid w:val="00496F72"/>
    <w:rsid w:val="004A35B2"/>
    <w:rsid w:val="004B1BE1"/>
    <w:rsid w:val="004B2E6B"/>
    <w:rsid w:val="004B463C"/>
    <w:rsid w:val="004B6FAC"/>
    <w:rsid w:val="004C0390"/>
    <w:rsid w:val="004D251F"/>
    <w:rsid w:val="004D2675"/>
    <w:rsid w:val="004D7E27"/>
    <w:rsid w:val="004E63EE"/>
    <w:rsid w:val="004E6A7C"/>
    <w:rsid w:val="005104ED"/>
    <w:rsid w:val="00513981"/>
    <w:rsid w:val="00513C5A"/>
    <w:rsid w:val="00536497"/>
    <w:rsid w:val="005364F4"/>
    <w:rsid w:val="005468C3"/>
    <w:rsid w:val="00550982"/>
    <w:rsid w:val="005512C3"/>
    <w:rsid w:val="00552672"/>
    <w:rsid w:val="00556407"/>
    <w:rsid w:val="0056220A"/>
    <w:rsid w:val="00586094"/>
    <w:rsid w:val="00587D34"/>
    <w:rsid w:val="005B22FE"/>
    <w:rsid w:val="005C6766"/>
    <w:rsid w:val="005C6AFD"/>
    <w:rsid w:val="005D4F3E"/>
    <w:rsid w:val="00612F40"/>
    <w:rsid w:val="006153B9"/>
    <w:rsid w:val="00622D81"/>
    <w:rsid w:val="0062441A"/>
    <w:rsid w:val="0062574B"/>
    <w:rsid w:val="00634B55"/>
    <w:rsid w:val="00650C9B"/>
    <w:rsid w:val="006571F4"/>
    <w:rsid w:val="00667146"/>
    <w:rsid w:val="0068094B"/>
    <w:rsid w:val="006B384A"/>
    <w:rsid w:val="006B7130"/>
    <w:rsid w:val="006C0F97"/>
    <w:rsid w:val="006C3FF1"/>
    <w:rsid w:val="006E4531"/>
    <w:rsid w:val="006F5A5F"/>
    <w:rsid w:val="00704683"/>
    <w:rsid w:val="00714F70"/>
    <w:rsid w:val="00716D7E"/>
    <w:rsid w:val="007328BA"/>
    <w:rsid w:val="007402BA"/>
    <w:rsid w:val="00741D61"/>
    <w:rsid w:val="0074741F"/>
    <w:rsid w:val="00752EFC"/>
    <w:rsid w:val="00762356"/>
    <w:rsid w:val="00770800"/>
    <w:rsid w:val="00770ABB"/>
    <w:rsid w:val="00774F45"/>
    <w:rsid w:val="0077622D"/>
    <w:rsid w:val="00782D25"/>
    <w:rsid w:val="0079507F"/>
    <w:rsid w:val="007A7933"/>
    <w:rsid w:val="007B52A1"/>
    <w:rsid w:val="007B7046"/>
    <w:rsid w:val="007B7267"/>
    <w:rsid w:val="007C62FE"/>
    <w:rsid w:val="007D0030"/>
    <w:rsid w:val="007D3D4D"/>
    <w:rsid w:val="007D4B1C"/>
    <w:rsid w:val="007D6BBB"/>
    <w:rsid w:val="007E2AFB"/>
    <w:rsid w:val="007F2ED5"/>
    <w:rsid w:val="007F4BB7"/>
    <w:rsid w:val="00802E39"/>
    <w:rsid w:val="0081362A"/>
    <w:rsid w:val="00823865"/>
    <w:rsid w:val="0083135B"/>
    <w:rsid w:val="008346AD"/>
    <w:rsid w:val="008438F6"/>
    <w:rsid w:val="00850850"/>
    <w:rsid w:val="00850984"/>
    <w:rsid w:val="0085254A"/>
    <w:rsid w:val="008536B9"/>
    <w:rsid w:val="00862CD3"/>
    <w:rsid w:val="0087060A"/>
    <w:rsid w:val="00872AF3"/>
    <w:rsid w:val="00886DDE"/>
    <w:rsid w:val="008872A5"/>
    <w:rsid w:val="00890086"/>
    <w:rsid w:val="00890CD8"/>
    <w:rsid w:val="008D1D15"/>
    <w:rsid w:val="008D2936"/>
    <w:rsid w:val="008E144B"/>
    <w:rsid w:val="008F4617"/>
    <w:rsid w:val="00902615"/>
    <w:rsid w:val="0090336B"/>
    <w:rsid w:val="00906359"/>
    <w:rsid w:val="00910B42"/>
    <w:rsid w:val="00920EBD"/>
    <w:rsid w:val="0092215E"/>
    <w:rsid w:val="0092600C"/>
    <w:rsid w:val="00930438"/>
    <w:rsid w:val="00947C22"/>
    <w:rsid w:val="009517F5"/>
    <w:rsid w:val="0096329D"/>
    <w:rsid w:val="0097055B"/>
    <w:rsid w:val="009710D0"/>
    <w:rsid w:val="00981313"/>
    <w:rsid w:val="009915E1"/>
    <w:rsid w:val="0099339F"/>
    <w:rsid w:val="00993E99"/>
    <w:rsid w:val="009972EF"/>
    <w:rsid w:val="009A0E3E"/>
    <w:rsid w:val="009A361E"/>
    <w:rsid w:val="009C086F"/>
    <w:rsid w:val="009D5D78"/>
    <w:rsid w:val="00A03231"/>
    <w:rsid w:val="00A07232"/>
    <w:rsid w:val="00A07FA1"/>
    <w:rsid w:val="00A10FD8"/>
    <w:rsid w:val="00A166B5"/>
    <w:rsid w:val="00A31179"/>
    <w:rsid w:val="00A33452"/>
    <w:rsid w:val="00A346EC"/>
    <w:rsid w:val="00A4561E"/>
    <w:rsid w:val="00A54FAF"/>
    <w:rsid w:val="00A652A8"/>
    <w:rsid w:val="00A6536E"/>
    <w:rsid w:val="00A851D5"/>
    <w:rsid w:val="00A85B42"/>
    <w:rsid w:val="00A95BC2"/>
    <w:rsid w:val="00AB3010"/>
    <w:rsid w:val="00AB67A1"/>
    <w:rsid w:val="00AC5F14"/>
    <w:rsid w:val="00AC7DD0"/>
    <w:rsid w:val="00AD6797"/>
    <w:rsid w:val="00B00610"/>
    <w:rsid w:val="00B10867"/>
    <w:rsid w:val="00B169D1"/>
    <w:rsid w:val="00B40366"/>
    <w:rsid w:val="00B41A38"/>
    <w:rsid w:val="00B47B3F"/>
    <w:rsid w:val="00B529D5"/>
    <w:rsid w:val="00B62C5F"/>
    <w:rsid w:val="00B6505A"/>
    <w:rsid w:val="00B6711C"/>
    <w:rsid w:val="00B81AF3"/>
    <w:rsid w:val="00B94EAB"/>
    <w:rsid w:val="00BA1F72"/>
    <w:rsid w:val="00BB2D14"/>
    <w:rsid w:val="00BF11F5"/>
    <w:rsid w:val="00BF1B87"/>
    <w:rsid w:val="00C016A9"/>
    <w:rsid w:val="00C047A3"/>
    <w:rsid w:val="00C05B52"/>
    <w:rsid w:val="00C06069"/>
    <w:rsid w:val="00C06D8C"/>
    <w:rsid w:val="00C11B5B"/>
    <w:rsid w:val="00C12CC8"/>
    <w:rsid w:val="00C20273"/>
    <w:rsid w:val="00C34359"/>
    <w:rsid w:val="00C3616E"/>
    <w:rsid w:val="00C36F20"/>
    <w:rsid w:val="00C4122F"/>
    <w:rsid w:val="00C42A4B"/>
    <w:rsid w:val="00C84234"/>
    <w:rsid w:val="00C908F5"/>
    <w:rsid w:val="00C9468B"/>
    <w:rsid w:val="00CB2875"/>
    <w:rsid w:val="00CC5E02"/>
    <w:rsid w:val="00CD6D87"/>
    <w:rsid w:val="00CF01D7"/>
    <w:rsid w:val="00CF770D"/>
    <w:rsid w:val="00D11BF7"/>
    <w:rsid w:val="00D13989"/>
    <w:rsid w:val="00D42344"/>
    <w:rsid w:val="00D5002C"/>
    <w:rsid w:val="00D71C77"/>
    <w:rsid w:val="00D730CA"/>
    <w:rsid w:val="00D913CE"/>
    <w:rsid w:val="00D97622"/>
    <w:rsid w:val="00DA51EA"/>
    <w:rsid w:val="00DB37CF"/>
    <w:rsid w:val="00DC063C"/>
    <w:rsid w:val="00DC08F1"/>
    <w:rsid w:val="00DC0A1B"/>
    <w:rsid w:val="00DD3960"/>
    <w:rsid w:val="00DD3F03"/>
    <w:rsid w:val="00DF5957"/>
    <w:rsid w:val="00E17336"/>
    <w:rsid w:val="00E25902"/>
    <w:rsid w:val="00E57617"/>
    <w:rsid w:val="00E81A36"/>
    <w:rsid w:val="00E97F6C"/>
    <w:rsid w:val="00EC6E6E"/>
    <w:rsid w:val="00EE2F48"/>
    <w:rsid w:val="00EF33E9"/>
    <w:rsid w:val="00EF5333"/>
    <w:rsid w:val="00F05CF8"/>
    <w:rsid w:val="00F05D6D"/>
    <w:rsid w:val="00F06D3B"/>
    <w:rsid w:val="00F139CA"/>
    <w:rsid w:val="00F23DA7"/>
    <w:rsid w:val="00F27A76"/>
    <w:rsid w:val="00F373E8"/>
    <w:rsid w:val="00F73A8D"/>
    <w:rsid w:val="00F76A13"/>
    <w:rsid w:val="00F77E7F"/>
    <w:rsid w:val="00F83DC7"/>
    <w:rsid w:val="00F857B4"/>
    <w:rsid w:val="00F9011D"/>
    <w:rsid w:val="00FA04C2"/>
    <w:rsid w:val="00FA59A7"/>
    <w:rsid w:val="00FC41DE"/>
    <w:rsid w:val="00FC61FA"/>
    <w:rsid w:val="00FD5E17"/>
    <w:rsid w:val="00FE1109"/>
    <w:rsid w:val="00FE7EF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B65E"/>
  <w15:chartTrackingRefBased/>
  <w15:docId w15:val="{268C0D07-78CC-4F8D-9247-D854583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5F"/>
  </w:style>
  <w:style w:type="paragraph" w:styleId="1">
    <w:name w:val="heading 1"/>
    <w:basedOn w:val="a"/>
    <w:link w:val="10"/>
    <w:uiPriority w:val="1"/>
    <w:qFormat/>
    <w:rsid w:val="00AB3010"/>
    <w:pPr>
      <w:widowControl w:val="0"/>
      <w:autoSpaceDE w:val="0"/>
      <w:autoSpaceDN w:val="0"/>
      <w:spacing w:before="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7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7D4"/>
    <w:rPr>
      <w:sz w:val="20"/>
      <w:szCs w:val="20"/>
    </w:rPr>
  </w:style>
  <w:style w:type="character" w:styleId="a5">
    <w:name w:val="footnote reference"/>
    <w:uiPriority w:val="99"/>
    <w:semiHidden/>
    <w:unhideWhenUsed/>
    <w:rsid w:val="003927D4"/>
    <w:rPr>
      <w:vertAlign w:val="superscript"/>
    </w:rPr>
  </w:style>
  <w:style w:type="paragraph" w:styleId="a6">
    <w:name w:val="List Paragraph"/>
    <w:basedOn w:val="a"/>
    <w:uiPriority w:val="1"/>
    <w:qFormat/>
    <w:rsid w:val="004755F9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755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AF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A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9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B30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2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DartMAXIMUS</cp:lastModifiedBy>
  <cp:revision>322</cp:revision>
  <cp:lastPrinted>2020-11-23T03:37:00Z</cp:lastPrinted>
  <dcterms:created xsi:type="dcterms:W3CDTF">2020-07-02T06:26:00Z</dcterms:created>
  <dcterms:modified xsi:type="dcterms:W3CDTF">2021-04-13T14:22:00Z</dcterms:modified>
</cp:coreProperties>
</file>