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4B" w:rsidRPr="00D63A00" w:rsidRDefault="00BD134B" w:rsidP="00BD134B">
      <w:pPr>
        <w:contextualSpacing/>
        <w:rPr>
          <w:rFonts w:cs="Times New Roman"/>
          <w:szCs w:val="28"/>
          <w:shd w:val="clear" w:color="auto" w:fill="FFFFFF"/>
        </w:rPr>
      </w:pPr>
      <w:r w:rsidRPr="00D63A00">
        <w:rPr>
          <w:rFonts w:cs="Times New Roman"/>
          <w:szCs w:val="28"/>
          <w:shd w:val="clear" w:color="auto" w:fill="FFFFFF"/>
        </w:rPr>
        <w:t>Тема наставничества сегодня наполнена совершенно новым смыслом. Наставник сейчас — это универсальный и разносторонний человек, который мотивирует наставляемых, составляет совместно с ними планы развития, помогает им достичь поставленных целей, а также разделяет положения концепции непрерывного образования.</w:t>
      </w:r>
    </w:p>
    <w:p w:rsidR="00BD134B" w:rsidRPr="00D63A00" w:rsidRDefault="00BD134B" w:rsidP="00BD134B">
      <w:pPr>
        <w:contextualSpacing/>
        <w:rPr>
          <w:rFonts w:cs="Times New Roman"/>
          <w:szCs w:val="28"/>
          <w:shd w:val="clear" w:color="auto" w:fill="FFFFFF"/>
        </w:rPr>
      </w:pPr>
      <w:r w:rsidRPr="00D63A00">
        <w:rPr>
          <w:rFonts w:cs="Times New Roman"/>
          <w:szCs w:val="28"/>
          <w:shd w:val="clear" w:color="auto" w:fill="FFFFFF"/>
        </w:rPr>
        <w:t xml:space="preserve">Чтобы совершенствовать свои технологии сопровождения талантов, наставнику необходимо знать, как реализуется наставничество в других городах и странах. </w:t>
      </w:r>
    </w:p>
    <w:p w:rsidR="00BD134B" w:rsidRPr="00D63A00" w:rsidRDefault="00BD134B" w:rsidP="00BD134B">
      <w:pPr>
        <w:contextualSpacing/>
        <w:rPr>
          <w:rFonts w:cs="Times New Roman"/>
          <w:szCs w:val="28"/>
          <w:shd w:val="clear" w:color="auto" w:fill="FFFFFF"/>
        </w:rPr>
      </w:pPr>
      <w:r w:rsidRPr="00D63A00">
        <w:rPr>
          <w:rFonts w:cs="Times New Roman"/>
          <w:szCs w:val="28"/>
          <w:shd w:val="clear" w:color="auto" w:fill="FFFFFF"/>
        </w:rPr>
        <w:t>В данной работе мы постараемся максимально раскрыть тему «Реверсивного наставничества». Данная тема актуальна на сегодняшний день. Так, как повышение своих профессиональных навыков, является неотъемлемой частью в развитии учебного заведения в целом. Для начала хотелось бы уточнить и закрепить такие термины как: наставничество, наставник, наставляемый.</w:t>
      </w:r>
    </w:p>
    <w:p w:rsidR="00BD134B" w:rsidRPr="00D63A00" w:rsidRDefault="00BD134B" w:rsidP="00BD134B">
      <w:pPr>
        <w:contextualSpacing/>
      </w:pPr>
      <w:r w:rsidRPr="00D63A00">
        <w:t xml:space="preserve">Наставничество - это универсальная технология передачи опыта, знаний, формирования навыков, компетенций, </w:t>
      </w:r>
      <w:proofErr w:type="spellStart"/>
      <w:r w:rsidRPr="00D63A00">
        <w:t>метакомпетенций</w:t>
      </w:r>
      <w:proofErr w:type="spellEnd"/>
      <w:r w:rsidRPr="00D63A00">
        <w:t xml:space="preserve"> и ценностей через неформальное </w:t>
      </w:r>
      <w:proofErr w:type="spellStart"/>
      <w:r w:rsidRPr="00D63A00">
        <w:t>взаимообогащающее</w:t>
      </w:r>
      <w:proofErr w:type="spellEnd"/>
      <w:r w:rsidRPr="00D63A00">
        <w:t xml:space="preserve"> общение, основанное на доверии и партнерстве. </w:t>
      </w:r>
      <w:proofErr w:type="gramStart"/>
      <w:r w:rsidRPr="00D63A00">
        <w:t>Другими словами</w:t>
      </w:r>
      <w:proofErr w:type="gramEnd"/>
      <w:r w:rsidRPr="00D63A00">
        <w:t xml:space="preserve"> эти взаимоотношения можно назвать «учитель – ученик».</w:t>
      </w:r>
    </w:p>
    <w:p w:rsidR="00BD134B" w:rsidRPr="00D63A00" w:rsidRDefault="00BD134B" w:rsidP="00BD134B">
      <w:pPr>
        <w:contextualSpacing/>
      </w:pPr>
      <w:r w:rsidRPr="00D63A00">
        <w:t>Наставник – «учитель», участник программы наставничества, имеющий успешный опыт в достижении жизненного, личностного и профессионального результата, компетентный и готовый поделиться опытом и навыками, необходимыми для стимуляции и поддержки процессов самореализации и самосовершенствования наставляемого.</w:t>
      </w:r>
    </w:p>
    <w:p w:rsidR="00BD134B" w:rsidRPr="00D63A00" w:rsidRDefault="00BD134B" w:rsidP="00BD134B">
      <w:pPr>
        <w:contextualSpacing/>
      </w:pPr>
      <w:r w:rsidRPr="00D63A00">
        <w:t>Наставляемый - «ученик»,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BD134B" w:rsidRPr="00D63A00" w:rsidRDefault="00BD134B" w:rsidP="00BD134B">
      <w:pPr>
        <w:contextualSpacing/>
      </w:pPr>
      <w:r w:rsidRPr="00D63A00">
        <w:lastRenderedPageBreak/>
        <w:t>Исходя из выше изложенного, необходимо понимать, что наставничество является неотъемлемым, а возможно одним из самых важных этапов повышения своих профессиональных навыков.</w:t>
      </w:r>
    </w:p>
    <w:p w:rsidR="00BD134B" w:rsidRPr="00D63A00" w:rsidRDefault="00BD134B" w:rsidP="00BD134B">
      <w:pPr>
        <w:contextualSpacing/>
      </w:pPr>
      <w:r w:rsidRPr="00D63A00">
        <w:t>Рассмотрим один из видов наставничества – реверсивное наставничество.</w:t>
      </w:r>
    </w:p>
    <w:p w:rsidR="00BD134B" w:rsidRPr="00D63A00" w:rsidRDefault="00BD134B" w:rsidP="00BD134B">
      <w:pPr>
        <w:contextualSpacing/>
      </w:pPr>
      <w:r w:rsidRPr="00D63A00">
        <w:t xml:space="preserve">Реверсивное наставничество (от англ. </w:t>
      </w:r>
      <w:proofErr w:type="spellStart"/>
      <w:r w:rsidRPr="00D63A00">
        <w:t>Reverse</w:t>
      </w:r>
      <w:proofErr w:type="spellEnd"/>
      <w:r w:rsidRPr="00D63A00">
        <w:t xml:space="preserve"> </w:t>
      </w:r>
      <w:proofErr w:type="spellStart"/>
      <w:r w:rsidRPr="00D63A00">
        <w:t>Mentoring</w:t>
      </w:r>
      <w:proofErr w:type="spellEnd"/>
      <w:r w:rsidRPr="00D63A00">
        <w:t>), подобно традиционному наставничеству, предполагает взаимодействие между двумя сотрудниками. При этом опытный, высококвалифицированный профессионал, старший по возрасту, опыту или позиции, становится подопечным младшего по этим параметрам сотрудника, который считается его наставником по вопросам новых тенденций, технологий и т. д.</w:t>
      </w:r>
    </w:p>
    <w:p w:rsidR="00BD134B" w:rsidRPr="00D63A00" w:rsidRDefault="00BD134B" w:rsidP="00BD134B">
      <w:pPr>
        <w:contextualSpacing/>
      </w:pPr>
      <w:r w:rsidRPr="00D63A00">
        <w:t>На примере двух преподавателей мы рассмотрим основные проблемы, на решение которых направлена практика. Для удобства прочтения проблемы и ее решений, информация оформлена в виде таблицы.</w:t>
      </w:r>
    </w:p>
    <w:tbl>
      <w:tblPr>
        <w:tblStyle w:val="a5"/>
        <w:tblW w:w="0" w:type="auto"/>
        <w:tblLook w:val="04A0" w:firstRow="1" w:lastRow="0" w:firstColumn="1" w:lastColumn="0" w:noHBand="0" w:noVBand="1"/>
      </w:tblPr>
      <w:tblGrid>
        <w:gridCol w:w="516"/>
        <w:gridCol w:w="2143"/>
        <w:gridCol w:w="6686"/>
      </w:tblGrid>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w:t>
            </w:r>
          </w:p>
        </w:tc>
        <w:tc>
          <w:tcPr>
            <w:tcW w:w="2144" w:type="dxa"/>
          </w:tcPr>
          <w:p w:rsidR="00BD134B" w:rsidRPr="00DA77C5" w:rsidRDefault="00BD134B" w:rsidP="0017692E">
            <w:pPr>
              <w:ind w:firstLine="0"/>
              <w:contextualSpacing/>
              <w:jc w:val="center"/>
              <w:rPr>
                <w:rFonts w:cs="Times New Roman"/>
                <w:sz w:val="24"/>
                <w:szCs w:val="24"/>
              </w:rPr>
            </w:pPr>
            <w:r w:rsidRPr="00DA77C5">
              <w:rPr>
                <w:rFonts w:cs="Times New Roman"/>
                <w:sz w:val="24"/>
                <w:szCs w:val="24"/>
              </w:rPr>
              <w:t>Критерии</w:t>
            </w:r>
          </w:p>
        </w:tc>
        <w:tc>
          <w:tcPr>
            <w:tcW w:w="6911" w:type="dxa"/>
          </w:tcPr>
          <w:p w:rsidR="00BD134B" w:rsidRPr="00DA77C5" w:rsidRDefault="00BD134B" w:rsidP="0017692E">
            <w:pPr>
              <w:ind w:firstLine="0"/>
              <w:contextualSpacing/>
              <w:jc w:val="center"/>
              <w:rPr>
                <w:rFonts w:cs="Times New Roman"/>
                <w:sz w:val="24"/>
                <w:szCs w:val="24"/>
              </w:rPr>
            </w:pPr>
            <w:r w:rsidRPr="00DA77C5">
              <w:rPr>
                <w:rFonts w:cs="Times New Roman"/>
                <w:sz w:val="24"/>
                <w:szCs w:val="24"/>
              </w:rPr>
              <w:t>Содержание</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1.</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Наименование практики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Реверсивное наставничество – передача знаний более опытного сотрудника менее опытному сотрудник, но при этом старшему по возрасту. Но с немного измененной жизненной позицией.</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2.</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Проблема, на решение которой направлена практика</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Усовершенствование личных знаний более опытных преподавателей, с точки зрения современности, усваивание новых тенденций и технологий.</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3.</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Участники практики</w:t>
            </w:r>
          </w:p>
        </w:tc>
        <w:tc>
          <w:tcPr>
            <w:tcW w:w="6911" w:type="dxa"/>
          </w:tcPr>
          <w:p w:rsidR="00BD134B" w:rsidRPr="00DA77C5" w:rsidRDefault="00BD134B" w:rsidP="0017692E">
            <w:pPr>
              <w:ind w:firstLine="0"/>
              <w:contextualSpacing/>
              <w:rPr>
                <w:rFonts w:cs="Times New Roman"/>
                <w:bCs/>
                <w:sz w:val="24"/>
                <w:szCs w:val="24"/>
              </w:rPr>
            </w:pPr>
            <w:r w:rsidRPr="00DA77C5">
              <w:rPr>
                <w:rFonts w:cs="Times New Roman"/>
                <w:bCs/>
                <w:sz w:val="24"/>
                <w:szCs w:val="24"/>
              </w:rPr>
              <w:t xml:space="preserve">Участник 1: Педагог дополнительного образования </w:t>
            </w:r>
          </w:p>
          <w:p w:rsidR="00BD134B" w:rsidRPr="00DA77C5" w:rsidRDefault="00BD134B" w:rsidP="0017692E">
            <w:pPr>
              <w:ind w:firstLine="0"/>
              <w:contextualSpacing/>
              <w:rPr>
                <w:rFonts w:cs="Times New Roman"/>
                <w:sz w:val="24"/>
                <w:szCs w:val="24"/>
              </w:rPr>
            </w:pPr>
            <w:r w:rsidRPr="00DA77C5">
              <w:rPr>
                <w:rFonts w:cs="Times New Roman"/>
                <w:bCs/>
                <w:sz w:val="24"/>
                <w:szCs w:val="24"/>
              </w:rPr>
              <w:t>(</w:t>
            </w:r>
            <w:r w:rsidRPr="00DA77C5">
              <w:rPr>
                <w:rFonts w:cs="Times New Roman"/>
                <w:sz w:val="24"/>
                <w:szCs w:val="24"/>
              </w:rPr>
              <w:t xml:space="preserve">Сетевой сервис </w:t>
            </w:r>
            <w:proofErr w:type="spellStart"/>
            <w:r w:rsidRPr="00DA77C5">
              <w:rPr>
                <w:rFonts w:cs="Times New Roman"/>
                <w:sz w:val="24"/>
                <w:szCs w:val="24"/>
              </w:rPr>
              <w:t>Padlet</w:t>
            </w:r>
            <w:proofErr w:type="spellEnd"/>
            <w:r w:rsidRPr="00DA77C5">
              <w:rPr>
                <w:rFonts w:cs="Times New Roman"/>
                <w:bCs/>
                <w:sz w:val="24"/>
                <w:szCs w:val="24"/>
              </w:rPr>
              <w:t xml:space="preserve"> \</w:t>
            </w:r>
            <w:r w:rsidRPr="00DA77C5">
              <w:rPr>
                <w:rFonts w:cs="Times New Roman"/>
                <w:sz w:val="24"/>
                <w:szCs w:val="24"/>
              </w:rPr>
              <w:t xml:space="preserve">Сетевой сервис -конструктор сайтов - </w:t>
            </w:r>
            <w:proofErr w:type="spellStart"/>
            <w:r w:rsidRPr="00DA77C5">
              <w:rPr>
                <w:rFonts w:cs="Times New Roman"/>
                <w:sz w:val="24"/>
                <w:szCs w:val="24"/>
                <w:lang w:val="en-US"/>
              </w:rPr>
              <w:t>Wix</w:t>
            </w:r>
            <w:proofErr w:type="spellEnd"/>
            <w:r w:rsidRPr="00DA77C5">
              <w:rPr>
                <w:rFonts w:cs="Times New Roman"/>
                <w:sz w:val="24"/>
                <w:szCs w:val="24"/>
              </w:rPr>
              <w:t>.</w:t>
            </w:r>
            <w:r w:rsidRPr="00DA77C5">
              <w:rPr>
                <w:rFonts w:cs="Times New Roman"/>
                <w:sz w:val="24"/>
                <w:szCs w:val="24"/>
                <w:lang w:val="en-US"/>
              </w:rPr>
              <w:t>com</w:t>
            </w:r>
            <w:r w:rsidRPr="00DA77C5">
              <w:rPr>
                <w:rFonts w:cs="Times New Roman"/>
                <w:sz w:val="24"/>
                <w:szCs w:val="24"/>
              </w:rPr>
              <w:t>)</w:t>
            </w:r>
          </w:p>
          <w:p w:rsidR="00BD134B" w:rsidRPr="00DA77C5" w:rsidRDefault="00BD134B" w:rsidP="0017692E">
            <w:pPr>
              <w:ind w:firstLine="0"/>
              <w:contextualSpacing/>
              <w:rPr>
                <w:rFonts w:cs="Times New Roman"/>
                <w:sz w:val="24"/>
                <w:szCs w:val="24"/>
              </w:rPr>
            </w:pPr>
            <w:r w:rsidRPr="00DA77C5">
              <w:rPr>
                <w:rFonts w:cs="Times New Roman"/>
                <w:sz w:val="24"/>
                <w:szCs w:val="24"/>
              </w:rPr>
              <w:t>Участник 2: Воспитатель (</w:t>
            </w:r>
            <w:proofErr w:type="spellStart"/>
            <w:r w:rsidRPr="00DA77C5">
              <w:rPr>
                <w:rFonts w:cs="Times New Roman"/>
                <w:sz w:val="24"/>
                <w:szCs w:val="24"/>
              </w:rPr>
              <w:t>Иновационая</w:t>
            </w:r>
            <w:proofErr w:type="spellEnd"/>
            <w:r w:rsidRPr="00DA77C5">
              <w:rPr>
                <w:rFonts w:cs="Times New Roman"/>
                <w:sz w:val="24"/>
                <w:szCs w:val="24"/>
              </w:rPr>
              <w:t xml:space="preserve"> игровая технология В.В. </w:t>
            </w:r>
            <w:proofErr w:type="spellStart"/>
            <w:r w:rsidRPr="00DA77C5">
              <w:rPr>
                <w:rFonts w:cs="Times New Roman"/>
                <w:sz w:val="24"/>
                <w:szCs w:val="24"/>
              </w:rPr>
              <w:t>Воскобович</w:t>
            </w:r>
            <w:proofErr w:type="spellEnd"/>
            <w:r w:rsidRPr="00DA77C5">
              <w:rPr>
                <w:rFonts w:cs="Times New Roman"/>
                <w:sz w:val="24"/>
                <w:szCs w:val="24"/>
              </w:rPr>
              <w:t>\ Работа с родителями, родительское собрание)</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4.</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Цель практики </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Выяснение профессиональных взаимоотношений, обмен полезной информацией. </w:t>
            </w:r>
          </w:p>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Пути усвоения свежей информации для устранения пробелов в личностном развитии преподавателей. </w:t>
            </w:r>
          </w:p>
          <w:p w:rsidR="00BD134B" w:rsidRPr="00DA77C5" w:rsidRDefault="00BD134B" w:rsidP="0017692E">
            <w:pPr>
              <w:ind w:firstLine="0"/>
              <w:contextualSpacing/>
              <w:rPr>
                <w:rFonts w:cs="Times New Roman"/>
                <w:sz w:val="24"/>
                <w:szCs w:val="24"/>
              </w:rPr>
            </w:pPr>
            <w:r w:rsidRPr="00DA77C5">
              <w:rPr>
                <w:rFonts w:cs="Times New Roman"/>
                <w:sz w:val="24"/>
                <w:szCs w:val="24"/>
              </w:rPr>
              <w:lastRenderedPageBreak/>
              <w:t xml:space="preserve">В наставничестве часто нельзя однозначно сказать, что один обучает, а другой обучается. </w:t>
            </w:r>
          </w:p>
          <w:p w:rsidR="00BD134B" w:rsidRPr="00DA77C5" w:rsidRDefault="00BD134B" w:rsidP="0017692E">
            <w:pPr>
              <w:ind w:firstLine="0"/>
              <w:contextualSpacing/>
              <w:rPr>
                <w:rFonts w:cs="Times New Roman"/>
                <w:b/>
                <w:sz w:val="24"/>
                <w:szCs w:val="24"/>
              </w:rPr>
            </w:pPr>
            <w:r w:rsidRPr="00DA77C5">
              <w:rPr>
                <w:rFonts w:cs="Times New Roman"/>
                <w:sz w:val="24"/>
                <w:szCs w:val="24"/>
              </w:rPr>
              <w:t xml:space="preserve">Партнёрские отношения способствуют формированию </w:t>
            </w:r>
            <w:proofErr w:type="spellStart"/>
            <w:r w:rsidRPr="00DA77C5">
              <w:rPr>
                <w:rFonts w:cs="Times New Roman"/>
                <w:sz w:val="24"/>
                <w:szCs w:val="24"/>
              </w:rPr>
              <w:t>метакомпетенций</w:t>
            </w:r>
            <w:proofErr w:type="spellEnd"/>
            <w:r w:rsidRPr="00DA77C5">
              <w:rPr>
                <w:rFonts w:cs="Times New Roman"/>
                <w:sz w:val="24"/>
                <w:szCs w:val="24"/>
              </w:rPr>
              <w:t>, включая способность к саморазвитию.</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lastRenderedPageBreak/>
              <w:t>5.</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Концептуальная идея</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shd w:val="clear" w:color="auto" w:fill="FFFFFF"/>
              </w:rPr>
              <w:t> Налаживание взаимопонимания и дружеских отношений между разными поколениями, решение проблемы недостаточной компетентности людей старших возрастов в области информационных технологий, интернет-коммуникаций и не только. Старший по возрасту становится подопечным у молодого и такой обмен энергией и опытом благоприятен для обеих сторон.</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6.</w:t>
            </w:r>
          </w:p>
        </w:tc>
        <w:tc>
          <w:tcPr>
            <w:tcW w:w="2144" w:type="dxa"/>
          </w:tcPr>
          <w:p w:rsidR="00BD134B" w:rsidRPr="00DA77C5" w:rsidRDefault="00BD134B" w:rsidP="0017692E">
            <w:pPr>
              <w:ind w:firstLine="0"/>
              <w:contextualSpacing/>
              <w:jc w:val="left"/>
              <w:rPr>
                <w:rFonts w:cs="Times New Roman"/>
                <w:sz w:val="24"/>
                <w:szCs w:val="24"/>
              </w:rPr>
            </w:pPr>
            <w:r w:rsidRPr="00DA77C5">
              <w:rPr>
                <w:rFonts w:cs="Times New Roman"/>
                <w:sz w:val="24"/>
                <w:szCs w:val="24"/>
              </w:rPr>
              <w:t>Средства, формы и методы реализации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Распространение опыта развития наставнической деятельность педагогических и руководящих кадров на основе сетевого взаимодействия будет осуществляться через публикации и научно-практические конференции; проведение методологических и методических семинаров, мастер-классов, </w:t>
            </w:r>
            <w:proofErr w:type="spellStart"/>
            <w:r w:rsidRPr="00DA77C5">
              <w:rPr>
                <w:rFonts w:cs="Times New Roman"/>
                <w:sz w:val="24"/>
                <w:szCs w:val="24"/>
              </w:rPr>
              <w:t>вебинаров</w:t>
            </w:r>
            <w:proofErr w:type="spellEnd"/>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7.</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Нормативное подкрепление практики</w:t>
            </w:r>
          </w:p>
        </w:tc>
        <w:tc>
          <w:tcPr>
            <w:tcW w:w="6911" w:type="dxa"/>
          </w:tcPr>
          <w:p w:rsidR="00BD134B" w:rsidRPr="00DA77C5" w:rsidRDefault="00BD134B" w:rsidP="00BD134B">
            <w:pPr>
              <w:pStyle w:val="a6"/>
              <w:numPr>
                <w:ilvl w:val="0"/>
                <w:numId w:val="2"/>
              </w:numPr>
              <w:ind w:left="180" w:firstLine="0"/>
              <w:rPr>
                <w:rFonts w:cs="Times New Roman"/>
                <w:sz w:val="24"/>
                <w:szCs w:val="24"/>
              </w:rPr>
            </w:pPr>
            <w:r w:rsidRPr="00DA77C5">
              <w:rPr>
                <w:rFonts w:cs="Times New Roman"/>
                <w:sz w:val="24"/>
                <w:szCs w:val="24"/>
              </w:rPr>
              <w:t>Федеральный закон от 29.12.2012 №273-ФЗ «Об образовании в Российской Федерации» (с изм. и доп. от 24.04.2020 №147-ФЗ).</w:t>
            </w:r>
          </w:p>
          <w:p w:rsidR="00BD134B" w:rsidRPr="00DA77C5" w:rsidRDefault="00BD134B" w:rsidP="00BD134B">
            <w:pPr>
              <w:pStyle w:val="a6"/>
              <w:numPr>
                <w:ilvl w:val="0"/>
                <w:numId w:val="2"/>
              </w:numPr>
              <w:ind w:left="180" w:firstLine="0"/>
              <w:rPr>
                <w:rFonts w:cs="Times New Roman"/>
                <w:sz w:val="24"/>
                <w:szCs w:val="24"/>
              </w:rPr>
            </w:pPr>
            <w:r w:rsidRPr="00DA77C5">
              <w:rPr>
                <w:rFonts w:cs="Times New Roman"/>
                <w:sz w:val="24"/>
                <w:szCs w:val="24"/>
              </w:rPr>
              <w:t xml:space="preserve"> Указ Президента РФ от 2 марта 2018 года №94 «Об учреждении знака отличия «За наставничество». </w:t>
            </w:r>
          </w:p>
          <w:p w:rsidR="00BD134B" w:rsidRPr="00DA77C5" w:rsidRDefault="00BD134B" w:rsidP="00BD134B">
            <w:pPr>
              <w:pStyle w:val="a6"/>
              <w:numPr>
                <w:ilvl w:val="0"/>
                <w:numId w:val="2"/>
              </w:numPr>
              <w:ind w:left="180" w:firstLine="0"/>
              <w:rPr>
                <w:rFonts w:cs="Times New Roman"/>
                <w:sz w:val="24"/>
                <w:szCs w:val="24"/>
              </w:rPr>
            </w:pPr>
            <w:r w:rsidRPr="00DA77C5">
              <w:rPr>
                <w:rFonts w:cs="Times New Roman"/>
                <w:sz w:val="24"/>
                <w:szCs w:val="24"/>
              </w:rPr>
              <w:t>Указ Президента РФ от 7 мая 2018 года №204 «О национальных целях и стратегических задачах развития Российской Федерации на период до 2024 года».</w:t>
            </w:r>
          </w:p>
          <w:p w:rsidR="00BD134B" w:rsidRPr="00DA77C5" w:rsidRDefault="00BD134B" w:rsidP="00BD134B">
            <w:pPr>
              <w:pStyle w:val="a6"/>
              <w:numPr>
                <w:ilvl w:val="0"/>
                <w:numId w:val="2"/>
              </w:numPr>
              <w:ind w:left="180" w:firstLine="0"/>
              <w:rPr>
                <w:rFonts w:cs="Times New Roman"/>
                <w:sz w:val="24"/>
                <w:szCs w:val="24"/>
              </w:rPr>
            </w:pPr>
            <w:r w:rsidRPr="00DA77C5">
              <w:rPr>
                <w:rFonts w:cs="Times New Roman"/>
                <w:sz w:val="24"/>
                <w:szCs w:val="24"/>
              </w:rPr>
              <w:t>Паспорт федерального проекта «Современная школа» (утв. президиумом Совета при Президенте РФ по стратегическому развитию и национальным проектам, протокол от 24.12.2018 N 16).</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8.</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Результативность практики</w:t>
            </w:r>
          </w:p>
        </w:tc>
        <w:tc>
          <w:tcPr>
            <w:tcW w:w="6911" w:type="dxa"/>
          </w:tcPr>
          <w:p w:rsidR="00BD134B" w:rsidRPr="00DA77C5" w:rsidRDefault="00BD134B" w:rsidP="0017692E">
            <w:pPr>
              <w:contextualSpacing/>
              <w:rPr>
                <w:rFonts w:cs="Times New Roman"/>
                <w:sz w:val="24"/>
                <w:szCs w:val="24"/>
              </w:rPr>
            </w:pPr>
            <w:r w:rsidRPr="00DA77C5">
              <w:rPr>
                <w:rFonts w:cs="Times New Roman"/>
                <w:sz w:val="24"/>
                <w:szCs w:val="24"/>
              </w:rPr>
              <w:t xml:space="preserve">Показателями результативности деятельности наставника могут выступать: </w:t>
            </w:r>
          </w:p>
          <w:p w:rsidR="00BD134B" w:rsidRPr="00DA77C5" w:rsidRDefault="00BD134B" w:rsidP="00BD134B">
            <w:pPr>
              <w:pStyle w:val="a6"/>
              <w:numPr>
                <w:ilvl w:val="0"/>
                <w:numId w:val="4"/>
              </w:numPr>
              <w:rPr>
                <w:rFonts w:cs="Times New Roman"/>
                <w:sz w:val="24"/>
                <w:szCs w:val="24"/>
              </w:rPr>
            </w:pPr>
            <w:r w:rsidRPr="00DA77C5">
              <w:rPr>
                <w:rFonts w:cs="Times New Roman"/>
                <w:sz w:val="24"/>
                <w:szCs w:val="24"/>
              </w:rPr>
              <w:t xml:space="preserve">собственные высокие результаты деятельности, демонстрируемые сопровождаемым; </w:t>
            </w:r>
          </w:p>
          <w:p w:rsidR="00BD134B" w:rsidRPr="00DA77C5" w:rsidRDefault="00BD134B" w:rsidP="00BD134B">
            <w:pPr>
              <w:pStyle w:val="a6"/>
              <w:numPr>
                <w:ilvl w:val="0"/>
                <w:numId w:val="4"/>
              </w:numPr>
              <w:rPr>
                <w:rFonts w:cs="Times New Roman"/>
                <w:sz w:val="24"/>
                <w:szCs w:val="24"/>
              </w:rPr>
            </w:pPr>
            <w:r w:rsidRPr="00DA77C5">
              <w:rPr>
                <w:rFonts w:cs="Times New Roman"/>
                <w:sz w:val="24"/>
                <w:szCs w:val="24"/>
              </w:rPr>
              <w:lastRenderedPageBreak/>
              <w:t xml:space="preserve">ускорение процессов </w:t>
            </w:r>
            <w:proofErr w:type="gramStart"/>
            <w:r w:rsidRPr="00DA77C5">
              <w:rPr>
                <w:rFonts w:cs="Times New Roman"/>
                <w:sz w:val="24"/>
                <w:szCs w:val="24"/>
              </w:rPr>
              <w:t>развития</w:t>
            </w:r>
            <w:proofErr w:type="gramEnd"/>
            <w:r w:rsidRPr="00DA77C5">
              <w:rPr>
                <w:rFonts w:cs="Times New Roman"/>
                <w:sz w:val="24"/>
                <w:szCs w:val="24"/>
              </w:rPr>
              <w:t xml:space="preserve"> сопровождаемого и освоения им деятельности (например, для наставников на производстве - быстрота «врабатываемости» новых работников, высокая скорость их выхода на нормативные показатели производительности и качества труда); </w:t>
            </w:r>
          </w:p>
          <w:p w:rsidR="00BD134B" w:rsidRPr="00DA77C5" w:rsidRDefault="00BD134B" w:rsidP="00BD134B">
            <w:pPr>
              <w:pStyle w:val="a6"/>
              <w:numPr>
                <w:ilvl w:val="0"/>
                <w:numId w:val="4"/>
              </w:numPr>
              <w:rPr>
                <w:rFonts w:cs="Times New Roman"/>
                <w:sz w:val="24"/>
                <w:szCs w:val="24"/>
              </w:rPr>
            </w:pPr>
            <w:r w:rsidRPr="00DA77C5">
              <w:rPr>
                <w:rFonts w:cs="Times New Roman"/>
                <w:sz w:val="24"/>
                <w:szCs w:val="24"/>
              </w:rPr>
              <w:t>качество отношений сопровождаемого с другими представителями группы, в которую он включен в процессе деятельности (принятие, поддержка сопровождаемого группой, его групповой статус, наличие или отсутствие конфликтов).</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lastRenderedPageBreak/>
              <w:t>9.</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Эффективность практики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Нужно понимать, что эффективной работа по наставничеству будет в случае: </w:t>
            </w:r>
          </w:p>
          <w:p w:rsidR="00BD134B" w:rsidRPr="00DA77C5" w:rsidRDefault="00BD134B" w:rsidP="00BD134B">
            <w:pPr>
              <w:pStyle w:val="a6"/>
              <w:numPr>
                <w:ilvl w:val="0"/>
                <w:numId w:val="3"/>
              </w:numPr>
              <w:rPr>
                <w:rFonts w:cs="Times New Roman"/>
                <w:sz w:val="24"/>
                <w:szCs w:val="24"/>
              </w:rPr>
            </w:pPr>
            <w:r w:rsidRPr="00DA77C5">
              <w:rPr>
                <w:rFonts w:cs="Times New Roman"/>
                <w:sz w:val="24"/>
                <w:szCs w:val="24"/>
              </w:rPr>
              <w:t xml:space="preserve">взаимной заинтересованности наставника и подшефного; </w:t>
            </w:r>
          </w:p>
          <w:p w:rsidR="00BD134B" w:rsidRPr="00DA77C5" w:rsidRDefault="00BD134B" w:rsidP="00BD134B">
            <w:pPr>
              <w:pStyle w:val="a6"/>
              <w:numPr>
                <w:ilvl w:val="0"/>
                <w:numId w:val="3"/>
              </w:numPr>
              <w:rPr>
                <w:rFonts w:cs="Times New Roman"/>
                <w:sz w:val="24"/>
                <w:szCs w:val="24"/>
              </w:rPr>
            </w:pPr>
            <w:r w:rsidRPr="00DA77C5">
              <w:rPr>
                <w:rFonts w:cs="Times New Roman"/>
                <w:sz w:val="24"/>
                <w:szCs w:val="24"/>
              </w:rPr>
              <w:t xml:space="preserve">административного контроля за процессом наставничества; </w:t>
            </w:r>
          </w:p>
          <w:p w:rsidR="00BD134B" w:rsidRPr="00DA77C5" w:rsidRDefault="00BD134B" w:rsidP="00BD134B">
            <w:pPr>
              <w:pStyle w:val="a6"/>
              <w:numPr>
                <w:ilvl w:val="0"/>
                <w:numId w:val="3"/>
              </w:numPr>
              <w:rPr>
                <w:rFonts w:cs="Times New Roman"/>
                <w:sz w:val="24"/>
                <w:szCs w:val="24"/>
              </w:rPr>
            </w:pPr>
            <w:r w:rsidRPr="00DA77C5">
              <w:rPr>
                <w:rFonts w:cs="Times New Roman"/>
                <w:sz w:val="24"/>
                <w:szCs w:val="24"/>
              </w:rPr>
              <w:t>тщательно продуманного планирования и своевременного отслеживания промежуточных результатов сотрудничества.</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10.</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Условия применения практики</w:t>
            </w:r>
          </w:p>
        </w:tc>
        <w:tc>
          <w:tcPr>
            <w:tcW w:w="6911" w:type="dxa"/>
          </w:tcPr>
          <w:p w:rsidR="00BD134B" w:rsidRPr="00DA77C5" w:rsidRDefault="00BD134B" w:rsidP="0017692E">
            <w:pPr>
              <w:contextualSpacing/>
              <w:rPr>
                <w:rFonts w:cs="Times New Roman"/>
                <w:sz w:val="24"/>
                <w:szCs w:val="24"/>
              </w:rPr>
            </w:pPr>
            <w:r w:rsidRPr="00DA77C5">
              <w:rPr>
                <w:rFonts w:cs="Times New Roman"/>
                <w:sz w:val="24"/>
                <w:szCs w:val="24"/>
              </w:rPr>
              <w:t xml:space="preserve">Условия функционирования наставничества: </w:t>
            </w:r>
          </w:p>
          <w:p w:rsidR="00BD134B" w:rsidRPr="00DA77C5" w:rsidRDefault="00BD134B" w:rsidP="00BD134B">
            <w:pPr>
              <w:pStyle w:val="a6"/>
              <w:numPr>
                <w:ilvl w:val="0"/>
                <w:numId w:val="5"/>
              </w:numPr>
              <w:rPr>
                <w:rFonts w:cs="Times New Roman"/>
                <w:sz w:val="24"/>
                <w:szCs w:val="24"/>
              </w:rPr>
            </w:pPr>
            <w:r w:rsidRPr="00DA77C5">
              <w:rPr>
                <w:rFonts w:cs="Times New Roman"/>
                <w:sz w:val="24"/>
                <w:szCs w:val="24"/>
              </w:rPr>
              <w:t>наличие внутреннего образовательного дефицита у сопровождаемого (группы сопровождаемых);</w:t>
            </w:r>
          </w:p>
          <w:p w:rsidR="00BD134B" w:rsidRPr="00DA77C5" w:rsidRDefault="00BD134B" w:rsidP="00BD134B">
            <w:pPr>
              <w:pStyle w:val="a6"/>
              <w:numPr>
                <w:ilvl w:val="0"/>
                <w:numId w:val="5"/>
              </w:numPr>
              <w:rPr>
                <w:rFonts w:cs="Times New Roman"/>
                <w:sz w:val="24"/>
                <w:szCs w:val="24"/>
              </w:rPr>
            </w:pPr>
            <w:r w:rsidRPr="00DA77C5">
              <w:rPr>
                <w:rFonts w:cs="Times New Roman"/>
                <w:sz w:val="24"/>
                <w:szCs w:val="24"/>
              </w:rPr>
              <w:t>достаточный уровень зрелости социокультурной среды и/или корпоративной культуры, для которого характерна атмосфера сотрудничества;</w:t>
            </w:r>
          </w:p>
          <w:p w:rsidR="00BD134B" w:rsidRPr="00DA77C5" w:rsidRDefault="00BD134B" w:rsidP="00BD134B">
            <w:pPr>
              <w:pStyle w:val="a6"/>
              <w:numPr>
                <w:ilvl w:val="0"/>
                <w:numId w:val="5"/>
              </w:numPr>
              <w:rPr>
                <w:rFonts w:cs="Times New Roman"/>
                <w:sz w:val="24"/>
                <w:szCs w:val="24"/>
              </w:rPr>
            </w:pPr>
            <w:r w:rsidRPr="00DA77C5">
              <w:rPr>
                <w:rFonts w:cs="Times New Roman"/>
                <w:sz w:val="24"/>
                <w:szCs w:val="24"/>
              </w:rPr>
              <w:t>стимулирование деятельности наставника (дополнительная оплата, 20 уменьшение объема основной нагрузки, различные формы нематериального стимулирования, наличие у наставника специального образования/подготовки (необходимое условие для определенных, наиболее сложных случаев, таких как работа с сопровождаемыми инвалидами или с лицами из группы риска).</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lastRenderedPageBreak/>
              <w:t>11.</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Период реализации практики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На протяжении 1-го года практики просматривается стабильная динамика развития профессиональных навыков. </w:t>
            </w:r>
          </w:p>
          <w:p w:rsidR="00BD134B" w:rsidRPr="00DA77C5" w:rsidRDefault="00BD134B" w:rsidP="0017692E">
            <w:pPr>
              <w:ind w:firstLine="0"/>
              <w:contextualSpacing/>
              <w:rPr>
                <w:rFonts w:cs="Times New Roman"/>
                <w:sz w:val="24"/>
                <w:szCs w:val="24"/>
              </w:rPr>
            </w:pPr>
            <w:r w:rsidRPr="00DA77C5">
              <w:rPr>
                <w:rFonts w:cs="Times New Roman"/>
                <w:sz w:val="24"/>
                <w:szCs w:val="24"/>
              </w:rPr>
              <w:t>По истечению срока нескольких лет профессиональные навыки в последствии реверсивного наставничества укореняются. У участника №1 заметен прогресс в взаимопонимании с родительским составом учащихся и проведении родительских собраний. У участника №2 замечен прогресс в усвоении материала для факультативных занятий с учащимися.</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12.</w:t>
            </w:r>
          </w:p>
        </w:tc>
        <w:tc>
          <w:tcPr>
            <w:tcW w:w="2144" w:type="dxa"/>
          </w:tcPr>
          <w:p w:rsidR="00BD134B" w:rsidRPr="00DA77C5" w:rsidRDefault="00BD134B" w:rsidP="0017692E">
            <w:pPr>
              <w:ind w:firstLine="0"/>
              <w:contextualSpacing/>
              <w:rPr>
                <w:rFonts w:cs="Times New Roman"/>
                <w:sz w:val="24"/>
                <w:szCs w:val="24"/>
              </w:rPr>
            </w:pPr>
            <w:proofErr w:type="spellStart"/>
            <w:r w:rsidRPr="00DA77C5">
              <w:rPr>
                <w:rFonts w:cs="Times New Roman"/>
                <w:sz w:val="24"/>
                <w:szCs w:val="24"/>
              </w:rPr>
              <w:t>Тиражируемость</w:t>
            </w:r>
            <w:proofErr w:type="spellEnd"/>
            <w:r w:rsidRPr="00DA77C5">
              <w:rPr>
                <w:rFonts w:cs="Times New Roman"/>
                <w:sz w:val="24"/>
                <w:szCs w:val="24"/>
              </w:rPr>
              <w:t xml:space="preserve"> практики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Практика наставничества, как работа с начинающими/новыми сотрудниками отражает давнюю традицию и сейчас является наиболее распространенной.</w:t>
            </w:r>
          </w:p>
          <w:p w:rsidR="00BD134B" w:rsidRPr="00DA77C5" w:rsidRDefault="00BD134B" w:rsidP="0017692E">
            <w:pPr>
              <w:ind w:firstLine="0"/>
              <w:contextualSpacing/>
              <w:rPr>
                <w:rFonts w:cs="Times New Roman"/>
                <w:sz w:val="24"/>
                <w:szCs w:val="24"/>
              </w:rPr>
            </w:pPr>
            <w:r w:rsidRPr="00DA77C5">
              <w:rPr>
                <w:rFonts w:cs="Times New Roman"/>
                <w:sz w:val="24"/>
                <w:szCs w:val="24"/>
                <w:shd w:val="clear" w:color="auto" w:fill="FFFFFF"/>
              </w:rPr>
              <w:t xml:space="preserve">На уровне общеобразовательной организации поощряются такие формы и методы наставничества, как индивидуальная адресная помощь по вопросам обучения и воспитания (работа с опытными учителями, наставниками), методические консультации, открытые уроки, внеклассные мероприятия, тематические педсоветы, семинары, совместная разработка и презентации моделей уроков, создание портфолио молодого учителя, защита творческих работ, мастер-классы, творческие мастерские, открытые уроки лучших учителей, посещение уроков молодых специалистов, </w:t>
            </w:r>
            <w:proofErr w:type="spellStart"/>
            <w:r w:rsidRPr="00DA77C5">
              <w:rPr>
                <w:rFonts w:cs="Times New Roman"/>
                <w:sz w:val="24"/>
                <w:szCs w:val="24"/>
                <w:shd w:val="clear" w:color="auto" w:fill="FFFFFF"/>
              </w:rPr>
              <w:t>взаимопосещение</w:t>
            </w:r>
            <w:proofErr w:type="spellEnd"/>
            <w:r w:rsidRPr="00DA77C5">
              <w:rPr>
                <w:rFonts w:cs="Times New Roman"/>
                <w:sz w:val="24"/>
                <w:szCs w:val="24"/>
                <w:shd w:val="clear" w:color="auto" w:fill="FFFFFF"/>
              </w:rPr>
              <w:t xml:space="preserve"> уроков, включение молодых учителей в работу школьного и городского методических объединений.</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t>13.</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Дополнительные материалы</w:t>
            </w:r>
          </w:p>
        </w:tc>
        <w:tc>
          <w:tcPr>
            <w:tcW w:w="6911" w:type="dxa"/>
          </w:tcPr>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t xml:space="preserve">Александров Е.Л. Интернет - легко и просто! Популярный самоучитель [Текст]: Методическое пособие / Е.Л. </w:t>
            </w:r>
            <w:proofErr w:type="gramStart"/>
            <w:r w:rsidRPr="00DA77C5">
              <w:rPr>
                <w:rFonts w:cs="Times New Roman"/>
                <w:sz w:val="24"/>
                <w:szCs w:val="24"/>
              </w:rPr>
              <w:t>Александров.-</w:t>
            </w:r>
            <w:proofErr w:type="gramEnd"/>
            <w:r w:rsidRPr="00DA77C5">
              <w:rPr>
                <w:rFonts w:cs="Times New Roman"/>
                <w:sz w:val="24"/>
                <w:szCs w:val="24"/>
              </w:rPr>
              <w:t xml:space="preserve"> СПб: Питер, 2005.- 208с.: ил. </w:t>
            </w:r>
          </w:p>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t>Будилов В.А. Основы программирования для Интернета [Текст]: учебное пособие / В.А. Будилов. - СПб: БХВ - Петербург, 2003. - 736с.: ил.</w:t>
            </w:r>
          </w:p>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t xml:space="preserve">Дронов В.А. Самоучитель </w:t>
            </w:r>
            <w:proofErr w:type="spellStart"/>
            <w:r w:rsidRPr="00DA77C5">
              <w:rPr>
                <w:rFonts w:cs="Times New Roman"/>
                <w:sz w:val="24"/>
                <w:szCs w:val="24"/>
              </w:rPr>
              <w:t>Macromedia</w:t>
            </w:r>
            <w:proofErr w:type="spellEnd"/>
            <w:r w:rsidRPr="00DA77C5">
              <w:rPr>
                <w:rFonts w:cs="Times New Roman"/>
                <w:sz w:val="24"/>
                <w:szCs w:val="24"/>
              </w:rPr>
              <w:t xml:space="preserve"> </w:t>
            </w:r>
            <w:proofErr w:type="spellStart"/>
            <w:r w:rsidRPr="00DA77C5">
              <w:rPr>
                <w:rFonts w:cs="Times New Roman"/>
                <w:sz w:val="24"/>
                <w:szCs w:val="24"/>
              </w:rPr>
              <w:t>Dreamweaver</w:t>
            </w:r>
            <w:proofErr w:type="spellEnd"/>
            <w:r w:rsidRPr="00DA77C5">
              <w:rPr>
                <w:rFonts w:cs="Times New Roman"/>
                <w:sz w:val="24"/>
                <w:szCs w:val="24"/>
              </w:rPr>
              <w:t xml:space="preserve"> 8. [Текст]: Методическое пособие / В.А. Дронов—СПб.: БХВ - Петербург, </w:t>
            </w:r>
            <w:proofErr w:type="gramStart"/>
            <w:r w:rsidRPr="00DA77C5">
              <w:rPr>
                <w:rFonts w:cs="Times New Roman"/>
                <w:sz w:val="24"/>
                <w:szCs w:val="24"/>
              </w:rPr>
              <w:t>2006.—</w:t>
            </w:r>
            <w:proofErr w:type="gramEnd"/>
            <w:r w:rsidRPr="00DA77C5">
              <w:rPr>
                <w:rFonts w:cs="Times New Roman"/>
                <w:sz w:val="24"/>
                <w:szCs w:val="24"/>
              </w:rPr>
              <w:t xml:space="preserve"> 320с:ил</w:t>
            </w:r>
          </w:p>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lastRenderedPageBreak/>
              <w:t xml:space="preserve">Кузнецов М.В., </w:t>
            </w:r>
            <w:proofErr w:type="spellStart"/>
            <w:r w:rsidRPr="00DA77C5">
              <w:rPr>
                <w:rFonts w:cs="Times New Roman"/>
                <w:sz w:val="24"/>
                <w:szCs w:val="24"/>
              </w:rPr>
              <w:t>Симдянов</w:t>
            </w:r>
            <w:proofErr w:type="spellEnd"/>
            <w:r w:rsidRPr="00DA77C5">
              <w:rPr>
                <w:rFonts w:cs="Times New Roman"/>
                <w:sz w:val="24"/>
                <w:szCs w:val="24"/>
              </w:rPr>
              <w:t xml:space="preserve"> И.В. РНР. Практика создания </w:t>
            </w:r>
            <w:proofErr w:type="spellStart"/>
            <w:r w:rsidRPr="00DA77C5">
              <w:rPr>
                <w:rFonts w:cs="Times New Roman"/>
                <w:sz w:val="24"/>
                <w:szCs w:val="24"/>
              </w:rPr>
              <w:t>Web</w:t>
            </w:r>
            <w:proofErr w:type="spellEnd"/>
            <w:r w:rsidRPr="00DA77C5">
              <w:rPr>
                <w:rFonts w:cs="Times New Roman"/>
                <w:sz w:val="24"/>
                <w:szCs w:val="24"/>
              </w:rPr>
              <w:t>-сайтов [Текст]: учебное пособие / М.В. Кузнецов, 2-ое издание – СПб: БХВ - Петербург, 2009 – 1264с.</w:t>
            </w:r>
          </w:p>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t>Нартова-</w:t>
            </w:r>
            <w:proofErr w:type="spellStart"/>
            <w:r w:rsidRPr="00DA77C5">
              <w:rPr>
                <w:rFonts w:cs="Times New Roman"/>
                <w:sz w:val="24"/>
                <w:szCs w:val="24"/>
              </w:rPr>
              <w:t>Бочавер</w:t>
            </w:r>
            <w:proofErr w:type="spellEnd"/>
            <w:r w:rsidRPr="00DA77C5">
              <w:rPr>
                <w:rFonts w:cs="Times New Roman"/>
                <w:sz w:val="24"/>
                <w:szCs w:val="24"/>
              </w:rPr>
              <w:t xml:space="preserve"> С.: «</w:t>
            </w:r>
            <w:proofErr w:type="spellStart"/>
            <w:r w:rsidRPr="00DA77C5">
              <w:rPr>
                <w:rFonts w:cs="Times New Roman"/>
                <w:sz w:val="24"/>
                <w:szCs w:val="24"/>
              </w:rPr>
              <w:t>Coping</w:t>
            </w:r>
            <w:proofErr w:type="spellEnd"/>
            <w:r w:rsidRPr="00DA77C5">
              <w:rPr>
                <w:rFonts w:cs="Times New Roman"/>
                <w:sz w:val="24"/>
                <w:szCs w:val="24"/>
              </w:rPr>
              <w:t xml:space="preserve"> </w:t>
            </w:r>
            <w:proofErr w:type="spellStart"/>
            <w:r w:rsidRPr="00DA77C5">
              <w:rPr>
                <w:rFonts w:cs="Times New Roman"/>
                <w:sz w:val="24"/>
                <w:szCs w:val="24"/>
              </w:rPr>
              <w:t>behavior</w:t>
            </w:r>
            <w:proofErr w:type="spellEnd"/>
            <w:r w:rsidRPr="00DA77C5">
              <w:rPr>
                <w:rFonts w:cs="Times New Roman"/>
                <w:sz w:val="24"/>
                <w:szCs w:val="24"/>
              </w:rPr>
              <w:t xml:space="preserve">» в системе понятий психологии </w:t>
            </w:r>
            <w:proofErr w:type="gramStart"/>
            <w:r w:rsidRPr="00DA77C5">
              <w:rPr>
                <w:rFonts w:cs="Times New Roman"/>
                <w:sz w:val="24"/>
                <w:szCs w:val="24"/>
              </w:rPr>
              <w:t>личности.-</w:t>
            </w:r>
            <w:proofErr w:type="gramEnd"/>
            <w:r w:rsidRPr="00DA77C5">
              <w:rPr>
                <w:rFonts w:cs="Times New Roman"/>
                <w:sz w:val="24"/>
                <w:szCs w:val="24"/>
              </w:rPr>
              <w:t xml:space="preserve"> Психол. журнал -1997.- №5-С.56</w:t>
            </w:r>
          </w:p>
          <w:p w:rsidR="00BD134B" w:rsidRPr="00DA77C5" w:rsidRDefault="00BD134B" w:rsidP="0017692E">
            <w:pPr>
              <w:pStyle w:val="a6"/>
              <w:numPr>
                <w:ilvl w:val="0"/>
                <w:numId w:val="1"/>
              </w:numPr>
              <w:ind w:left="180" w:firstLine="0"/>
              <w:rPr>
                <w:rFonts w:cs="Times New Roman"/>
                <w:sz w:val="24"/>
                <w:szCs w:val="24"/>
              </w:rPr>
            </w:pPr>
            <w:r w:rsidRPr="00DA77C5">
              <w:rPr>
                <w:rFonts w:cs="Times New Roman"/>
                <w:sz w:val="24"/>
                <w:szCs w:val="24"/>
              </w:rPr>
              <w:t>Нартова-</w:t>
            </w:r>
            <w:proofErr w:type="spellStart"/>
            <w:r w:rsidRPr="00DA77C5">
              <w:rPr>
                <w:rFonts w:cs="Times New Roman"/>
                <w:sz w:val="24"/>
                <w:szCs w:val="24"/>
              </w:rPr>
              <w:t>Бочавер</w:t>
            </w:r>
            <w:proofErr w:type="spellEnd"/>
            <w:r w:rsidRPr="00DA77C5">
              <w:rPr>
                <w:rFonts w:cs="Times New Roman"/>
                <w:sz w:val="24"/>
                <w:szCs w:val="24"/>
              </w:rPr>
              <w:t xml:space="preserve"> С. Психология личности и межличностных отношений. - М.: Из-во ЭКСМО-Пресс, 2001.</w:t>
            </w:r>
          </w:p>
        </w:tc>
      </w:tr>
      <w:tr w:rsidR="00BD134B" w:rsidRPr="00DA77C5" w:rsidTr="0017692E">
        <w:tc>
          <w:tcPr>
            <w:tcW w:w="516" w:type="dxa"/>
          </w:tcPr>
          <w:p w:rsidR="00BD134B" w:rsidRPr="00DA77C5" w:rsidRDefault="00BD134B" w:rsidP="0017692E">
            <w:pPr>
              <w:ind w:firstLine="0"/>
              <w:contextualSpacing/>
              <w:rPr>
                <w:rFonts w:cs="Times New Roman"/>
                <w:sz w:val="24"/>
                <w:szCs w:val="24"/>
              </w:rPr>
            </w:pPr>
            <w:r w:rsidRPr="00DA77C5">
              <w:rPr>
                <w:rFonts w:cs="Times New Roman"/>
                <w:sz w:val="24"/>
                <w:szCs w:val="24"/>
              </w:rPr>
              <w:lastRenderedPageBreak/>
              <w:t>14</w:t>
            </w:r>
          </w:p>
        </w:tc>
        <w:tc>
          <w:tcPr>
            <w:tcW w:w="2144" w:type="dxa"/>
          </w:tcPr>
          <w:p w:rsidR="00BD134B" w:rsidRPr="00DA77C5" w:rsidRDefault="00BD134B" w:rsidP="0017692E">
            <w:pPr>
              <w:ind w:firstLine="0"/>
              <w:contextualSpacing/>
              <w:rPr>
                <w:rFonts w:cs="Times New Roman"/>
                <w:sz w:val="24"/>
                <w:szCs w:val="24"/>
              </w:rPr>
            </w:pPr>
            <w:r w:rsidRPr="00DA77C5">
              <w:rPr>
                <w:rFonts w:cs="Times New Roman"/>
                <w:sz w:val="24"/>
                <w:szCs w:val="24"/>
              </w:rPr>
              <w:t>Применение практики для поддержки обучающихся с особыми образовательными или социальными потребностями</w:t>
            </w:r>
          </w:p>
        </w:tc>
        <w:tc>
          <w:tcPr>
            <w:tcW w:w="6911" w:type="dxa"/>
          </w:tcPr>
          <w:p w:rsidR="00BD134B" w:rsidRPr="00DA77C5" w:rsidRDefault="00BD134B" w:rsidP="0017692E">
            <w:pPr>
              <w:ind w:firstLine="0"/>
              <w:contextualSpacing/>
              <w:rPr>
                <w:rFonts w:cs="Times New Roman"/>
                <w:sz w:val="24"/>
                <w:szCs w:val="24"/>
              </w:rPr>
            </w:pPr>
            <w:r w:rsidRPr="00DA77C5">
              <w:rPr>
                <w:rFonts w:cs="Times New Roman"/>
                <w:sz w:val="24"/>
                <w:szCs w:val="24"/>
              </w:rPr>
              <w:t xml:space="preserve">Такая практика располагает к себе все категории обучающихся.  Так, как её применение возможно во всех спектрах её проявления. </w:t>
            </w:r>
          </w:p>
          <w:p w:rsidR="00BD134B" w:rsidRPr="00DA77C5" w:rsidRDefault="00BD134B" w:rsidP="0017692E">
            <w:pPr>
              <w:ind w:firstLine="0"/>
              <w:contextualSpacing/>
              <w:rPr>
                <w:rFonts w:cs="Times New Roman"/>
                <w:sz w:val="24"/>
                <w:szCs w:val="24"/>
              </w:rPr>
            </w:pPr>
            <w:r w:rsidRPr="00DA77C5">
              <w:rPr>
                <w:rFonts w:cs="Times New Roman"/>
                <w:sz w:val="24"/>
                <w:szCs w:val="24"/>
              </w:rPr>
              <w:t>Данная практика применяема для поддержки обучающихся с особыми образовательными или социальными потребностями.</w:t>
            </w:r>
          </w:p>
        </w:tc>
      </w:tr>
    </w:tbl>
    <w:p w:rsidR="00BD134B" w:rsidRPr="00D63A00" w:rsidRDefault="00BD134B" w:rsidP="00BD134B">
      <w:pPr>
        <w:contextualSpacing/>
      </w:pPr>
    </w:p>
    <w:p w:rsidR="00BD134B" w:rsidRPr="00D63A00" w:rsidRDefault="00BD134B" w:rsidP="00BD134B">
      <w:pPr>
        <w:contextualSpacing/>
      </w:pPr>
      <w:r>
        <w:t>Исходя из выше изложенного, несомненно, можно сделать вывод, что само понимание реверсивного наставничества крайне важно в культурно образовательной сфере. Обмен опытом является неотъемлемой частью периода «повышения квалификации».</w:t>
      </w:r>
    </w:p>
    <w:p w:rsidR="008B0F3D" w:rsidRDefault="008B0F3D">
      <w:bookmarkStart w:id="0" w:name="_GoBack"/>
      <w:bookmarkEnd w:id="0"/>
    </w:p>
    <w:sectPr w:rsidR="008B0F3D" w:rsidSect="00441078">
      <w:headerReference w:type="default" r:id="rId5"/>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14218"/>
      <w:docPartObj>
        <w:docPartGallery w:val="Page Numbers (Top of Page)"/>
        <w:docPartUnique/>
      </w:docPartObj>
    </w:sdtPr>
    <w:sdtEndPr/>
    <w:sdtContent>
      <w:p w:rsidR="0035302D" w:rsidRPr="00C97BB6" w:rsidRDefault="00BD134B">
        <w:pPr>
          <w:pStyle w:val="a3"/>
          <w:jc w:val="right"/>
          <w:rPr>
            <w:sz w:val="24"/>
            <w:szCs w:val="24"/>
          </w:rPr>
        </w:pPr>
        <w:r w:rsidRPr="00C97BB6">
          <w:rPr>
            <w:sz w:val="24"/>
            <w:szCs w:val="24"/>
          </w:rPr>
          <w:fldChar w:fldCharType="begin"/>
        </w:r>
        <w:r w:rsidRPr="00C97BB6">
          <w:rPr>
            <w:sz w:val="24"/>
            <w:szCs w:val="24"/>
          </w:rPr>
          <w:instrText xml:space="preserve"> PAGE   \* MERGEFORMAT </w:instrText>
        </w:r>
        <w:r w:rsidRPr="00C97BB6">
          <w:rPr>
            <w:sz w:val="24"/>
            <w:szCs w:val="24"/>
          </w:rPr>
          <w:fldChar w:fldCharType="separate"/>
        </w:r>
        <w:r>
          <w:rPr>
            <w:noProof/>
            <w:sz w:val="24"/>
            <w:szCs w:val="24"/>
          </w:rPr>
          <w:t>5</w:t>
        </w:r>
        <w:r w:rsidRPr="00C97BB6">
          <w:rPr>
            <w:sz w:val="24"/>
            <w:szCs w:val="24"/>
          </w:rPr>
          <w:fldChar w:fldCharType="end"/>
        </w:r>
      </w:p>
    </w:sdtContent>
  </w:sdt>
  <w:p w:rsidR="0035302D" w:rsidRDefault="00BD134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03D"/>
    <w:multiLevelType w:val="hybridMultilevel"/>
    <w:tmpl w:val="ECAC0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6615A7"/>
    <w:multiLevelType w:val="hybridMultilevel"/>
    <w:tmpl w:val="C19AB0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0B1494"/>
    <w:multiLevelType w:val="hybridMultilevel"/>
    <w:tmpl w:val="51EE7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2B7108"/>
    <w:multiLevelType w:val="hybridMultilevel"/>
    <w:tmpl w:val="3098C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CC7D5B"/>
    <w:multiLevelType w:val="hybridMultilevel"/>
    <w:tmpl w:val="B74EE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0"/>
    <w:rsid w:val="00360550"/>
    <w:rsid w:val="008B0F3D"/>
    <w:rsid w:val="00BD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8475-50E9-4BE1-A819-4B7C0A9F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4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34B"/>
    <w:pPr>
      <w:tabs>
        <w:tab w:val="center" w:pos="4677"/>
        <w:tab w:val="right" w:pos="9355"/>
      </w:tabs>
      <w:spacing w:line="240" w:lineRule="auto"/>
    </w:pPr>
  </w:style>
  <w:style w:type="character" w:customStyle="1" w:styleId="a4">
    <w:name w:val="Верхний колонтитул Знак"/>
    <w:basedOn w:val="a0"/>
    <w:link w:val="a3"/>
    <w:uiPriority w:val="99"/>
    <w:rsid w:val="00BD134B"/>
    <w:rPr>
      <w:rFonts w:ascii="Times New Roman" w:hAnsi="Times New Roman"/>
      <w:sz w:val="28"/>
    </w:rPr>
  </w:style>
  <w:style w:type="table" w:styleId="a5">
    <w:name w:val="Table Grid"/>
    <w:basedOn w:val="a1"/>
    <w:uiPriority w:val="59"/>
    <w:rsid w:val="00BD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2022-08-01T19:04:00Z</dcterms:created>
  <dcterms:modified xsi:type="dcterms:W3CDTF">2022-08-01T19:04:00Z</dcterms:modified>
</cp:coreProperties>
</file>