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A3" w:rsidRDefault="00645A5A" w:rsidP="00645A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645A5A" w:rsidRDefault="00645A5A" w:rsidP="00645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работа</w:t>
      </w:r>
    </w:p>
    <w:p w:rsidR="00645A5A" w:rsidRDefault="00645A5A" w:rsidP="00645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645A5A" w:rsidRPr="00645A5A" w:rsidRDefault="00645A5A" w:rsidP="00645A5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5A">
        <w:rPr>
          <w:rFonts w:ascii="Times New Roman" w:hAnsi="Times New Roman" w:cs="Times New Roman"/>
          <w:b/>
          <w:sz w:val="32"/>
          <w:szCs w:val="32"/>
        </w:rPr>
        <w:t>«Реализация государственной политики в сфере занятости молодежи в условиях цифровизации</w:t>
      </w:r>
      <w:r w:rsidRPr="00645A5A">
        <w:rPr>
          <w:rFonts w:ascii="Times New Roman" w:hAnsi="Times New Roman" w:cs="Times New Roman"/>
          <w:sz w:val="32"/>
          <w:szCs w:val="32"/>
        </w:rPr>
        <w:t>»</w:t>
      </w:r>
    </w:p>
    <w:p w:rsidR="00645A5A" w:rsidRDefault="00645A5A" w:rsidP="00645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материалах администрации Болотнинского района)</w:t>
      </w:r>
    </w:p>
    <w:p w:rsidR="00645A5A" w:rsidRDefault="00645A5A" w:rsidP="00645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A5A" w:rsidRDefault="00645A5A" w:rsidP="00645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ИАР</w:t>
      </w:r>
    </w:p>
    <w:p w:rsidR="00645A5A" w:rsidRPr="00645A5A" w:rsidRDefault="00645A5A" w:rsidP="00645A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A5A">
        <w:rPr>
          <w:rFonts w:ascii="Times New Roman" w:hAnsi="Times New Roman" w:cs="Times New Roman"/>
          <w:b/>
          <w:sz w:val="28"/>
          <w:szCs w:val="28"/>
        </w:rPr>
        <w:t>Струкова Н А</w:t>
      </w:r>
    </w:p>
    <w:p w:rsidR="00645A5A" w:rsidRDefault="00645A5A" w:rsidP="00645A5A">
      <w:pPr>
        <w:jc w:val="right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государственного и муниципального управления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  <w:t xml:space="preserve"> </w:t>
      </w:r>
    </w:p>
    <w:p w:rsidR="00645A5A" w:rsidRPr="00645A5A" w:rsidRDefault="00645A5A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Выполнил ИАР</w:t>
      </w:r>
    </w:p>
    <w:p w:rsidR="00645A5A" w:rsidRPr="00645A5A" w:rsidRDefault="00645A5A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слушатель курсов</w:t>
      </w:r>
    </w:p>
    <w:p w:rsidR="00645A5A" w:rsidRDefault="00645A5A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кафедры государственного и муниципального управления</w:t>
      </w:r>
    </w:p>
    <w:p w:rsidR="00645A5A" w:rsidRDefault="00645A5A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группа: 210421</w:t>
      </w: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645A5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5A5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А.Е.Нарежнев</w:t>
      </w: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:rsidR="00645A5A" w:rsidRDefault="00645A5A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45A5A" w:rsidRDefault="00C82003" w:rsidP="00C820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 слайд</w:t>
      </w:r>
    </w:p>
    <w:p w:rsidR="006E6165" w:rsidRDefault="006E6165" w:rsidP="006E6165">
      <w:pPr>
        <w:pStyle w:val="a3"/>
        <w:spacing w:before="200" w:beforeAutospacing="0" w:after="0" w:afterAutospacing="0" w:line="216" w:lineRule="auto"/>
        <w:jc w:val="right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«Восстановление рынка труда и снижение уровня безработицы в России, являются важнейшими задачами правительства России Федерации, в текущем году»  </w:t>
      </w:r>
    </w:p>
    <w:p w:rsidR="006E6165" w:rsidRDefault="006E6165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В.В.Путин 2021г</w:t>
      </w:r>
    </w:p>
    <w:p w:rsidR="006E6165" w:rsidRDefault="006E6165" w:rsidP="00645A5A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из выступления по экономическим вопросам</w:t>
      </w:r>
    </w:p>
    <w:p w:rsidR="00F23DB6" w:rsidRDefault="00F23DB6" w:rsidP="00A92B74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6165" w:rsidRDefault="00F23DB6" w:rsidP="00A92B74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3 слайд</w:t>
      </w:r>
    </w:p>
    <w:p w:rsidR="00645A5A" w:rsidRPr="006E6165" w:rsidRDefault="00645A5A" w:rsidP="00A92B7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E616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Введение</w:t>
      </w:r>
    </w:p>
    <w:p w:rsidR="00645A5A" w:rsidRDefault="00FA3ECE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Актуальность изучени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государственной политики в сфере занятости молодежи в условиях цифровизации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336DD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обусловленная высоким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уровнем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92B7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безработицы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муниципальном образовании, что вызывает </w:t>
      </w:r>
      <w:r w:rsidR="00336DD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тревогу в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92B7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органах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государственной и, муниципальной 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власти, </w:t>
      </w:r>
      <w:r w:rsidR="00336DD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по контролю за уровнем безработицы и оказанием государственных и муниципальных услуг гражданам, нуждающиеся в помощи. </w:t>
      </w:r>
    </w:p>
    <w:p w:rsidR="00A30157" w:rsidRDefault="00336DD9" w:rsidP="00A301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В ходе совещания по экономическим вопросам, в 2020 году, Президент России В.В. Путин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заявил, что «</w:t>
      </w:r>
      <w:r w:rsidR="006722C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уровень безработицы в России, должен снизиться, с 6.3% - до 4.7%, к концу 2021 года.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тоже время, Правительству РФ, было поручено, оказать помощь населению, посредством</w:t>
      </w:r>
      <w:r w:rsidR="00A92B7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F6F0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реализации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92B7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государственных мер, 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направленные на решение актуальных вопросов для </w:t>
      </w:r>
      <w:r w:rsidR="004D4A8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восстановления</w:t>
      </w:r>
      <w:r w:rsidR="007C50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уровня безработицы,</w:t>
      </w:r>
      <w:r w:rsidR="007C50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</w:t>
      </w:r>
      <w:r w:rsidR="005473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ыравнивание</w:t>
      </w:r>
      <w:r w:rsidR="003043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уровня доходов населения</w:t>
      </w:r>
      <w:r w:rsidR="007C50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и, осуществления профессиональной подготовки граждан, в соответствии с единым планом по достижению национальных целей развития Российской Федерации на период до 2024 и на плановый период до 2030 года.</w:t>
      </w:r>
      <w:r w:rsidR="00A92B7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45A5A"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301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0157" w:rsidRDefault="00401837" w:rsidP="00A301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в</w:t>
      </w:r>
      <w:r w:rsidR="00A30157">
        <w:rPr>
          <w:rFonts w:ascii="Times New Roman" w:hAnsi="Times New Roman" w:cs="Times New Roman"/>
          <w:sz w:val="28"/>
          <w:szCs w:val="28"/>
        </w:rPr>
        <w:t xml:space="preserve">опросы государственной политики, </w:t>
      </w:r>
      <w:r w:rsidR="00653ADE">
        <w:rPr>
          <w:rFonts w:ascii="Times New Roman" w:hAnsi="Times New Roman" w:cs="Times New Roman"/>
          <w:sz w:val="28"/>
          <w:szCs w:val="28"/>
        </w:rPr>
        <w:t xml:space="preserve">в сфере занятости молодежи, </w:t>
      </w:r>
      <w:r w:rsidR="00A3015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53ADE">
        <w:rPr>
          <w:rFonts w:ascii="Times New Roman" w:hAnsi="Times New Roman" w:cs="Times New Roman"/>
          <w:sz w:val="28"/>
          <w:szCs w:val="28"/>
        </w:rPr>
        <w:t xml:space="preserve">определенное значение, </w:t>
      </w:r>
      <w:r w:rsidR="00A30157">
        <w:rPr>
          <w:rFonts w:ascii="Times New Roman" w:hAnsi="Times New Roman" w:cs="Times New Roman"/>
          <w:sz w:val="28"/>
          <w:szCs w:val="28"/>
        </w:rPr>
        <w:t xml:space="preserve">в деле реформирования системы государственной и муниципальной службы, </w:t>
      </w:r>
      <w:r w:rsidR="00653ADE">
        <w:rPr>
          <w:rFonts w:ascii="Times New Roman" w:hAnsi="Times New Roman" w:cs="Times New Roman"/>
          <w:sz w:val="28"/>
          <w:szCs w:val="28"/>
        </w:rPr>
        <w:t xml:space="preserve">в рамках цифровой трансформации региональной власти. </w:t>
      </w:r>
      <w:r>
        <w:rPr>
          <w:rFonts w:ascii="Times New Roman" w:hAnsi="Times New Roman" w:cs="Times New Roman"/>
          <w:sz w:val="28"/>
          <w:szCs w:val="28"/>
        </w:rPr>
        <w:t>К тому же</w:t>
      </w:r>
      <w:r w:rsidR="009C6097">
        <w:rPr>
          <w:rFonts w:ascii="Times New Roman" w:hAnsi="Times New Roman" w:cs="Times New Roman"/>
          <w:sz w:val="28"/>
          <w:szCs w:val="28"/>
        </w:rPr>
        <w:t>, м</w:t>
      </w:r>
      <w:r w:rsidR="00653ADE">
        <w:rPr>
          <w:rFonts w:ascii="Times New Roman" w:hAnsi="Times New Roman" w:cs="Times New Roman"/>
          <w:sz w:val="28"/>
          <w:szCs w:val="28"/>
        </w:rPr>
        <w:t>униципалитет, облада</w:t>
      </w:r>
      <w:r w:rsidR="00CC43A2">
        <w:rPr>
          <w:rFonts w:ascii="Times New Roman" w:hAnsi="Times New Roman" w:cs="Times New Roman"/>
          <w:sz w:val="28"/>
          <w:szCs w:val="28"/>
        </w:rPr>
        <w:t>ет</w:t>
      </w:r>
      <w:r w:rsidR="00653ADE">
        <w:rPr>
          <w:rFonts w:ascii="Times New Roman" w:hAnsi="Times New Roman" w:cs="Times New Roman"/>
          <w:sz w:val="28"/>
          <w:szCs w:val="28"/>
        </w:rPr>
        <w:t xml:space="preserve"> ряд полномочиями, </w:t>
      </w:r>
      <w:r w:rsidR="00CC43A2">
        <w:rPr>
          <w:rFonts w:ascii="Times New Roman" w:hAnsi="Times New Roman" w:cs="Times New Roman"/>
          <w:sz w:val="28"/>
          <w:szCs w:val="28"/>
        </w:rPr>
        <w:t xml:space="preserve">и </w:t>
      </w:r>
      <w:r w:rsidR="00653ADE">
        <w:rPr>
          <w:rFonts w:ascii="Times New Roman" w:hAnsi="Times New Roman" w:cs="Times New Roman"/>
          <w:sz w:val="28"/>
          <w:szCs w:val="28"/>
        </w:rPr>
        <w:t xml:space="preserve">имеет возможность, участвовать в проекте «Содействие занятости населения», что, безусловно находит свое отражение в аналитических записках об итогах социально-экономического развития Болотнинского района Новосибирской области. </w:t>
      </w:r>
    </w:p>
    <w:p w:rsidR="00A30157" w:rsidRDefault="00A30157" w:rsidP="00A301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мы пришли к выводу, о необходимости рассмотрения вопроса реализации государственной </w:t>
      </w:r>
      <w:r w:rsidR="00E931FD">
        <w:rPr>
          <w:rFonts w:ascii="Times New Roman" w:hAnsi="Times New Roman" w:cs="Times New Roman"/>
          <w:sz w:val="28"/>
          <w:szCs w:val="28"/>
        </w:rPr>
        <w:t>политики в</w:t>
      </w:r>
      <w:r>
        <w:rPr>
          <w:rFonts w:ascii="Times New Roman" w:hAnsi="Times New Roman" w:cs="Times New Roman"/>
          <w:sz w:val="28"/>
          <w:szCs w:val="28"/>
        </w:rPr>
        <w:t xml:space="preserve"> сфере занятости молодежи в условиях цифровизации, на материалах Болотнинского района Новосибирской области</w:t>
      </w:r>
      <w:r w:rsidR="00E931FD">
        <w:rPr>
          <w:rFonts w:ascii="Times New Roman" w:hAnsi="Times New Roman" w:cs="Times New Roman"/>
          <w:sz w:val="28"/>
          <w:szCs w:val="28"/>
        </w:rPr>
        <w:t>.</w:t>
      </w:r>
    </w:p>
    <w:p w:rsidR="00A92B74" w:rsidRDefault="00A92B74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C90C46" w:rsidRDefault="00C90C46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слайд</w:t>
      </w:r>
      <w:r w:rsidR="004D79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4</w:t>
      </w:r>
    </w:p>
    <w:p w:rsidR="004B36DE" w:rsidRDefault="00862AB1" w:rsidP="004B3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B36DE" w:rsidRPr="00274CDF">
        <w:rPr>
          <w:rFonts w:ascii="Times New Roman" w:hAnsi="Times New Roman" w:cs="Times New Roman"/>
          <w:b/>
          <w:sz w:val="28"/>
          <w:szCs w:val="28"/>
        </w:rPr>
        <w:t>ротиворечи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36DE">
        <w:rPr>
          <w:rFonts w:ascii="Times New Roman" w:hAnsi="Times New Roman" w:cs="Times New Roman"/>
          <w:sz w:val="28"/>
          <w:szCs w:val="28"/>
        </w:rPr>
        <w:t>, вызванн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36DE">
        <w:rPr>
          <w:rFonts w:ascii="Times New Roman" w:hAnsi="Times New Roman" w:cs="Times New Roman"/>
          <w:sz w:val="28"/>
          <w:szCs w:val="28"/>
        </w:rPr>
        <w:t xml:space="preserve">е следствием анализа изученных материалов, в частности: между потребностью молодежи в получении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их занятости на предприятиях муниципального образования, и </w:t>
      </w:r>
      <w:r w:rsidR="00093D93">
        <w:rPr>
          <w:rFonts w:ascii="Times New Roman" w:hAnsi="Times New Roman" w:cs="Times New Roman"/>
          <w:sz w:val="28"/>
          <w:szCs w:val="28"/>
        </w:rPr>
        <w:t>отсутствие механизма реализации государственной политики в сфере занятости молодежи в реальном секторе экономики.</w:t>
      </w:r>
    </w:p>
    <w:p w:rsidR="00A92B74" w:rsidRDefault="00A92B74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E44DE0" w:rsidRDefault="00E44DE0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слайд</w:t>
      </w:r>
      <w:r w:rsidR="004D79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5</w:t>
      </w:r>
    </w:p>
    <w:p w:rsidR="0062580D" w:rsidRDefault="0062580D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03AEC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Цель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исследования</w:t>
      </w:r>
      <w:r w:rsidR="00E5364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C73DA5">
        <w:rPr>
          <w:rFonts w:ascii="Times New Roman" w:hAnsi="Times New Roman" w:cs="Times New Roman"/>
          <w:sz w:val="28"/>
          <w:szCs w:val="28"/>
        </w:rPr>
        <w:t>является р</w:t>
      </w:r>
      <w:r w:rsidR="000566D4">
        <w:rPr>
          <w:rFonts w:ascii="Times New Roman" w:hAnsi="Times New Roman" w:cs="Times New Roman"/>
          <w:sz w:val="28"/>
          <w:szCs w:val="28"/>
        </w:rPr>
        <w:t xml:space="preserve">азработка рекомендаций по совершенствованию государственной политики, в сфере занятости молодежи в условиях цифровизации в </w:t>
      </w:r>
      <w:proofErr w:type="spellStart"/>
      <w:r w:rsidR="000566D4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="000566D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73DA5">
        <w:rPr>
          <w:rFonts w:ascii="Times New Roman" w:hAnsi="Times New Roman" w:cs="Times New Roman"/>
          <w:sz w:val="28"/>
          <w:szCs w:val="28"/>
        </w:rPr>
        <w:t xml:space="preserve"> (на материалах администрации Болотнинского района Новосибирской области). </w:t>
      </w:r>
    </w:p>
    <w:p w:rsidR="00E53643" w:rsidRDefault="00A03AEC" w:rsidP="00E53643">
      <w:pPr>
        <w:spacing w:line="276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З</w:t>
      </w:r>
      <w:r w:rsidR="0062580D" w:rsidRPr="00A03AEC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адачи</w:t>
      </w:r>
      <w:r w:rsidR="006258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исследования.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6D4">
        <w:rPr>
          <w:rFonts w:ascii="Times New Roman" w:hAnsi="Times New Roman" w:cs="Times New Roman"/>
          <w:sz w:val="28"/>
          <w:szCs w:val="28"/>
        </w:rPr>
        <w:t>рассмотреть сущность и значение государственной политики в сфере занятости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6D4">
        <w:rPr>
          <w:rFonts w:ascii="Times New Roman" w:hAnsi="Times New Roman" w:cs="Times New Roman"/>
          <w:sz w:val="28"/>
          <w:szCs w:val="28"/>
        </w:rPr>
        <w:t xml:space="preserve">провести анализ нормативно-правовых основ государственной политики в сфере занятости молодежи; 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6D4">
        <w:rPr>
          <w:rFonts w:ascii="Times New Roman" w:hAnsi="Times New Roman" w:cs="Times New Roman"/>
          <w:sz w:val="28"/>
          <w:szCs w:val="28"/>
        </w:rPr>
        <w:t xml:space="preserve">провести анализ рынка труда в </w:t>
      </w:r>
      <w:proofErr w:type="spellStart"/>
      <w:r w:rsidR="000566D4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="000566D4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566D4" w:rsidRDefault="000566D4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реализации политики в сфере занятости молодежи в условиях цифровизации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слайд </w:t>
      </w:r>
      <w:r w:rsidR="000A52A0">
        <w:rPr>
          <w:rFonts w:ascii="Times New Roman" w:hAnsi="Times New Roman" w:cs="Times New Roman"/>
          <w:sz w:val="28"/>
          <w:szCs w:val="28"/>
        </w:rPr>
        <w:t>6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DF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является, </w:t>
      </w:r>
      <w:r w:rsidR="000566D4">
        <w:rPr>
          <w:rFonts w:ascii="Times New Roman" w:hAnsi="Times New Roman" w:cs="Times New Roman"/>
          <w:sz w:val="28"/>
          <w:szCs w:val="28"/>
        </w:rPr>
        <w:t xml:space="preserve">занятость молодежи в </w:t>
      </w:r>
      <w:proofErr w:type="spellStart"/>
      <w:r w:rsidR="000566D4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="000566D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2580D" w:rsidRP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DF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является,</w:t>
      </w:r>
      <w:r w:rsidR="002A7FEA">
        <w:rPr>
          <w:rFonts w:ascii="Times New Roman" w:hAnsi="Times New Roman" w:cs="Times New Roman"/>
          <w:sz w:val="28"/>
          <w:szCs w:val="28"/>
        </w:rPr>
        <w:t xml:space="preserve"> </w:t>
      </w:r>
      <w:r w:rsidR="000566D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 молодежи в условиях цифровизации в </w:t>
      </w:r>
      <w:proofErr w:type="spellStart"/>
      <w:r w:rsidR="000566D4">
        <w:rPr>
          <w:rFonts w:ascii="Times New Roman" w:hAnsi="Times New Roman" w:cs="Times New Roman"/>
          <w:sz w:val="28"/>
          <w:szCs w:val="28"/>
        </w:rPr>
        <w:t>Болотнинском</w:t>
      </w:r>
      <w:proofErr w:type="spellEnd"/>
      <w:r w:rsidR="000566D4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074EA" w:rsidRDefault="00E074EA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слайд</w:t>
      </w:r>
      <w:r w:rsidR="000A52A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7</w:t>
      </w:r>
    </w:p>
    <w:p w:rsidR="00DA126E" w:rsidRDefault="00DA126E" w:rsidP="00DA12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исследования, </w:t>
      </w:r>
      <w:r w:rsidRPr="006D3042">
        <w:rPr>
          <w:rFonts w:ascii="Times New Roman" w:hAnsi="Times New Roman" w:cs="Times New Roman"/>
          <w:sz w:val="28"/>
          <w:szCs w:val="28"/>
        </w:rPr>
        <w:t>состоит в том, что</w:t>
      </w:r>
      <w:r>
        <w:rPr>
          <w:rFonts w:ascii="Times New Roman" w:hAnsi="Times New Roman" w:cs="Times New Roman"/>
          <w:sz w:val="28"/>
          <w:szCs w:val="28"/>
        </w:rPr>
        <w:t>, изученный материал по проблеме государственной политики в сфере занятости молодежи, может оказать определенное значение, в деле, снижения уровня безработицы молодёжи в муниципальном образовании, при реализации государственной политики в сфере занятости молодежи в условиях цифровизации, если:</w:t>
      </w:r>
    </w:p>
    <w:p w:rsidR="0062580D" w:rsidRDefault="00DA126E" w:rsidP="00DA126E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предоставлен анализ нормативно-правового, организационного характера, в том числе </w:t>
      </w:r>
      <w:r w:rsidR="002A7FE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рын</w:t>
      </w:r>
      <w:r w:rsidR="002A7FE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труда муниципалитета, с целью определения состояния занятости населения, который позволит, создать организационные условия, для дальнейшего, более качественного оказания государственных и муниципальных услуг гражданам, </w:t>
      </w:r>
      <w:r w:rsidR="002A7FEA">
        <w:rPr>
          <w:rFonts w:ascii="Times New Roman" w:hAnsi="Times New Roman" w:cs="Times New Roman"/>
          <w:sz w:val="28"/>
          <w:szCs w:val="28"/>
        </w:rPr>
        <w:t xml:space="preserve">в поиске работы и приобретения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условиях цифровизации, что безусловно, повысит уровень удовлетворенности граждан РФ качеством предоставления государственных и муниципальных услуг а, также,  повысит качество исполнения Указа Президента РФ от 7 мая 2012 года  № 601. </w:t>
      </w:r>
    </w:p>
    <w:p w:rsidR="000A52A0" w:rsidRDefault="000A52A0" w:rsidP="00E536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слайд 8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0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применяемые в работе, использовались следующие:</w:t>
      </w:r>
    </w:p>
    <w:p w:rsidR="0062580D" w:rsidRP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(</w:t>
      </w:r>
      <w:r w:rsidR="000566D4">
        <w:rPr>
          <w:rFonts w:ascii="Times New Roman" w:hAnsi="Times New Roman" w:cs="Times New Roman"/>
          <w:sz w:val="28"/>
          <w:szCs w:val="28"/>
        </w:rPr>
        <w:t xml:space="preserve">системный анализ,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0566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6D4">
        <w:rPr>
          <w:rFonts w:ascii="Times New Roman" w:hAnsi="Times New Roman" w:cs="Times New Roman"/>
          <w:sz w:val="28"/>
          <w:szCs w:val="28"/>
        </w:rPr>
        <w:t xml:space="preserve"> сравнительный анализ, наблюдение)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EA" w:rsidRDefault="00E074EA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F9">
        <w:rPr>
          <w:rFonts w:ascii="Times New Roman" w:hAnsi="Times New Roman" w:cs="Times New Roman"/>
          <w:b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состоит в том, что проанализирована литература, по проблеме реализации государственной политики в сфере занятости молодежи в условиях цифровизации муниципального образования (Болотнинский район Новосибирской области), представляющая интерес, для дальнейшего изучения и, применения специалистами в управлении государственной политикой в сфере занятости молодежи на муниципальном уровне.</w:t>
      </w:r>
    </w:p>
    <w:p w:rsidR="002B2F9D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F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состоит в том, что изученный материал по проблеме реализации государственной политики в сфере занятости молодежи, в усвоениях цифровизации, имеет место применения в муниципальном управлении, теоретического </w:t>
      </w:r>
      <w:r w:rsidR="00A24CF8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изученной литературы</w:t>
      </w:r>
      <w:r w:rsidR="006377F9">
        <w:rPr>
          <w:rFonts w:ascii="Times New Roman" w:hAnsi="Times New Roman" w:cs="Times New Roman"/>
          <w:sz w:val="28"/>
          <w:szCs w:val="28"/>
        </w:rPr>
        <w:t>,</w:t>
      </w:r>
      <w:r w:rsidR="004A1B40" w:rsidRPr="004A1B40">
        <w:rPr>
          <w:rFonts w:ascii="Times New Roman" w:hAnsi="Times New Roman" w:cs="Times New Roman"/>
          <w:sz w:val="28"/>
          <w:szCs w:val="28"/>
        </w:rPr>
        <w:t xml:space="preserve"> </w:t>
      </w:r>
      <w:r w:rsidR="004A1B40">
        <w:rPr>
          <w:rFonts w:ascii="Times New Roman" w:hAnsi="Times New Roman" w:cs="Times New Roman"/>
          <w:sz w:val="28"/>
          <w:szCs w:val="28"/>
        </w:rPr>
        <w:t xml:space="preserve">во исполнения Указа Президента РФ от 7 мая 2012 года № 601.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43" w:rsidRP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4EA" w:rsidRDefault="00E074EA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слайд</w:t>
      </w:r>
      <w:r w:rsidR="000A52A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9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C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DF1B60">
        <w:rPr>
          <w:rFonts w:ascii="Times New Roman" w:hAnsi="Times New Roman" w:cs="Times New Roman"/>
          <w:sz w:val="28"/>
          <w:szCs w:val="28"/>
        </w:rPr>
        <w:t>определены договором</w:t>
      </w:r>
      <w:r>
        <w:rPr>
          <w:rFonts w:ascii="Times New Roman" w:hAnsi="Times New Roman" w:cs="Times New Roman"/>
          <w:sz w:val="28"/>
          <w:szCs w:val="28"/>
        </w:rPr>
        <w:t xml:space="preserve">, о профессиональной подготовке, </w:t>
      </w:r>
      <w:r w:rsidR="00DF1B60">
        <w:rPr>
          <w:rFonts w:ascii="Times New Roman" w:hAnsi="Times New Roman" w:cs="Times New Roman"/>
          <w:sz w:val="28"/>
          <w:szCs w:val="28"/>
        </w:rPr>
        <w:t xml:space="preserve">имеющий период, </w:t>
      </w:r>
      <w:r>
        <w:rPr>
          <w:rFonts w:ascii="Times New Roman" w:hAnsi="Times New Roman" w:cs="Times New Roman"/>
          <w:sz w:val="28"/>
          <w:szCs w:val="28"/>
        </w:rPr>
        <w:t>с июля-октябрь 2021 года: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формирующий (организация исследования по изучению литературы по проблеме исследования)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констатирующий (сбор материала)</w:t>
      </w:r>
    </w:p>
    <w:p w:rsidR="00E53643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контрольный (обработка материала и написание итоговой аттестационной работы) </w:t>
      </w:r>
    </w:p>
    <w:p w:rsidR="00E53643" w:rsidRPr="002F5C9C" w:rsidRDefault="00E53643" w:rsidP="00E536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C7">
        <w:rPr>
          <w:rFonts w:ascii="Times New Roman" w:hAnsi="Times New Roman" w:cs="Times New Roman"/>
          <w:b/>
          <w:sz w:val="28"/>
          <w:szCs w:val="28"/>
        </w:rPr>
        <w:t>Экспериментальная база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является администрация Болотнинского района Новосибирской области, в полном составе муниципального образования, в количестве 14 сельских поселений. </w:t>
      </w:r>
    </w:p>
    <w:p w:rsidR="002B2F9D" w:rsidRDefault="002B2F9D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E074EA" w:rsidRDefault="00E074EA" w:rsidP="006E6165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слайд</w:t>
      </w:r>
      <w:r w:rsidR="000A52A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10</w:t>
      </w:r>
    </w:p>
    <w:p w:rsidR="00902B68" w:rsidRDefault="00902B68" w:rsidP="006E6165">
      <w:pPr>
        <w:jc w:val="both"/>
        <w:rPr>
          <w:rFonts w:ascii="Times New Roman" w:hAnsi="Times New Roman" w:cs="Times New Roman"/>
          <w:sz w:val="28"/>
          <w:szCs w:val="28"/>
        </w:rPr>
      </w:pP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Результат реализации государственной политики занятости населения в муниципальном образовании, на 2020 год, показывает, исполнительность органов муниципального управления, в деле выполнения государственного заказа, в сфере занятости населения муниципального образования, посредством реализации федерального проекта</w:t>
      </w:r>
      <w:r>
        <w:rPr>
          <w:rFonts w:eastAsiaTheme="majorEastAsia"/>
          <w:color w:val="000000" w:themeColor="text1"/>
          <w:kern w:val="24"/>
          <w:sz w:val="36"/>
          <w:szCs w:val="36"/>
        </w:rPr>
        <w:t xml:space="preserve"> 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«Содействии занятости населения» национального проекта «Демография», с применением ГИС, что выражается, в изложенных аналитических записках, за 2021гг</w:t>
      </w:r>
      <w:r>
        <w:rPr>
          <w:rFonts w:eastAsiaTheme="maj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ajorEastAsia"/>
          <w:color w:val="000000" w:themeColor="text1"/>
          <w:kern w:val="24"/>
          <w:sz w:val="36"/>
          <w:szCs w:val="36"/>
        </w:rPr>
        <w:br/>
      </w:r>
      <w:r>
        <w:rPr>
          <w:rFonts w:eastAsiaTheme="majorEastAsia"/>
          <w:color w:val="000000" w:themeColor="text1"/>
          <w:kern w:val="24"/>
          <w:sz w:val="36"/>
          <w:szCs w:val="36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t xml:space="preserve">В свою очередь, рынок труда муниципального образования (Болотнинский </w:t>
      </w:r>
      <w:r w:rsidRPr="00902B68">
        <w:rPr>
          <w:rFonts w:ascii="Times New Roman" w:hAnsi="Times New Roman" w:cs="Times New Roman"/>
          <w:sz w:val="28"/>
          <w:szCs w:val="28"/>
        </w:rPr>
        <w:lastRenderedPageBreak/>
        <w:t>района Новосибирской области), характеризуется следующими показателями, за 2021 год:</w:t>
      </w:r>
    </w:p>
    <w:p w:rsidR="00902B68" w:rsidRDefault="00902B68" w:rsidP="006E6165">
      <w:pPr>
        <w:jc w:val="both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  <w:r w:rsidRPr="00902B68">
        <w:rPr>
          <w:rFonts w:ascii="Times New Roman" w:hAnsi="Times New Roman" w:cs="Times New Roman"/>
          <w:sz w:val="28"/>
          <w:szCs w:val="28"/>
        </w:rPr>
        <w:t>- уровень официально зарегистрированной безработицы, составляет 3.4%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численность занятых в экономике, в количестве 10.8% тыс. человек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численность населения на 01.01.2021г, составляет 26419</w:t>
      </w:r>
      <w:r>
        <w:rPr>
          <w:rFonts w:eastAsiaTheme="majorEastAsia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902B68" w:rsidRDefault="00902B68" w:rsidP="006E6165">
      <w:pPr>
        <w:jc w:val="both"/>
        <w:rPr>
          <w:rFonts w:eastAsiaTheme="majorEastAsia"/>
          <w:b/>
          <w:bCs/>
          <w:color w:val="000000" w:themeColor="text1"/>
          <w:kern w:val="24"/>
          <w:sz w:val="36"/>
          <w:szCs w:val="36"/>
        </w:rPr>
      </w:pPr>
    </w:p>
    <w:p w:rsidR="00902B68" w:rsidRPr="00902B68" w:rsidRDefault="00902B68" w:rsidP="006E6165">
      <w:pPr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902B68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                                               слайд 11</w:t>
      </w:r>
    </w:p>
    <w:p w:rsidR="00902B68" w:rsidRDefault="00902B68" w:rsidP="00902B68">
      <w:pPr>
        <w:rPr>
          <w:rFonts w:ascii="Times New Roman" w:hAnsi="Times New Roman" w:cs="Times New Roman"/>
          <w:sz w:val="28"/>
          <w:szCs w:val="28"/>
        </w:rPr>
      </w:pPr>
      <w:r w:rsidRPr="00902B68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основу</w:t>
      </w:r>
      <w:r w:rsidRPr="00902B68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муниципального образования (Болотнинский район НСО), составляет: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целлюлозно-бумажной отрасли (ЗАО «Болотнинская гофротара»)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добыча полезных ископаемых (АО «Новобибеевский каменный карьер»)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легкой промышленности («ООО Шанс»)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пищевой промышленности (ООО «Болотноехлебопродукт»)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>- деревообрабатывающей отрасли (Болотнинский лесхоз)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 xml:space="preserve">- услуги промышленного характера (Вагонное ремонтное депо) </w:t>
      </w:r>
    </w:p>
    <w:p w:rsidR="00902B68" w:rsidRDefault="00902B68" w:rsidP="00902B68">
      <w:pPr>
        <w:rPr>
          <w:rFonts w:ascii="Times New Roman" w:hAnsi="Times New Roman" w:cs="Times New Roman"/>
          <w:b/>
          <w:sz w:val="28"/>
          <w:szCs w:val="28"/>
        </w:rPr>
      </w:pPr>
    </w:p>
    <w:p w:rsidR="00902B68" w:rsidRPr="00902B68" w:rsidRDefault="00902B68" w:rsidP="00902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02B68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902B68" w:rsidRDefault="00902B68" w:rsidP="00902B68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Применительно, к основной </w:t>
      </w:r>
      <w:r w:rsidRPr="00902B6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доле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промышленной продукции, производят обрабатывающие отрасли, в объеме </w:t>
      </w:r>
      <w:r w:rsidRPr="00902B6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92%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из них: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ЗАО «Болотнинская гофротара» (86.6%)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ОАО «Новосибирский каменный карьер»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ООО «Болотноехлебопродукт»</w:t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- ООО «Шанс» </w:t>
      </w:r>
    </w:p>
    <w:p w:rsidR="00902B68" w:rsidRDefault="00902B68" w:rsidP="00902B68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902B68" w:rsidRDefault="00902B68" w:rsidP="00902B68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902B68" w:rsidRPr="00902B68" w:rsidRDefault="00902B68" w:rsidP="00902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902B6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902B68" w:rsidRDefault="00902B68" w:rsidP="00902B68">
      <w:pPr>
        <w:rPr>
          <w:rFonts w:ascii="Times New Roman" w:hAnsi="Times New Roman" w:cs="Times New Roman"/>
          <w:sz w:val="28"/>
          <w:szCs w:val="28"/>
        </w:rPr>
      </w:pPr>
      <w:r w:rsidRPr="00902B68">
        <w:rPr>
          <w:rFonts w:ascii="Times New Roman" w:hAnsi="Times New Roman" w:cs="Times New Roman"/>
          <w:sz w:val="28"/>
          <w:szCs w:val="28"/>
        </w:rPr>
        <w:t xml:space="preserve">В завершении, приведем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статистику</w:t>
      </w:r>
      <w:r w:rsidRPr="00902B68">
        <w:rPr>
          <w:rFonts w:ascii="Times New Roman" w:hAnsi="Times New Roman" w:cs="Times New Roman"/>
          <w:sz w:val="28"/>
          <w:szCs w:val="28"/>
        </w:rPr>
        <w:t>, где: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 xml:space="preserve">-на конец полугода 2021 года, в службу занятости населения, работодателями, подано заявок в кол-че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601</w:t>
      </w:r>
      <w:r w:rsidRPr="00902B68">
        <w:rPr>
          <w:rFonts w:ascii="Times New Roman" w:hAnsi="Times New Roman" w:cs="Times New Roman"/>
          <w:sz w:val="28"/>
          <w:szCs w:val="28"/>
        </w:rPr>
        <w:t xml:space="preserve"> вакансии, что на 239 вакансии больше, чем в 2020 году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 xml:space="preserve">- из общего кол-ва вакансии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428</w:t>
      </w:r>
      <w:r w:rsidRPr="00902B68">
        <w:rPr>
          <w:rFonts w:ascii="Times New Roman" w:hAnsi="Times New Roman" w:cs="Times New Roman"/>
          <w:sz w:val="28"/>
          <w:szCs w:val="28"/>
        </w:rPr>
        <w:t xml:space="preserve"> (71.8%), основные направления по рабочим м профессиям (кладовщики, водители, электросварщики, трактористы)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 xml:space="preserve">- среднемесячная зарплата, по общему кругу предприятий района, на 01.07.2021год, составляет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26.524т.р</w:t>
      </w:r>
      <w:r w:rsidRPr="00902B68">
        <w:rPr>
          <w:rFonts w:ascii="Times New Roman" w:hAnsi="Times New Roman" w:cs="Times New Roman"/>
          <w:sz w:val="28"/>
          <w:szCs w:val="28"/>
        </w:rPr>
        <w:t>., что на 9% выше прошлого 2020 года</w:t>
      </w:r>
      <w:r w:rsidRPr="00902B68">
        <w:rPr>
          <w:rFonts w:ascii="Times New Roman" w:hAnsi="Times New Roman" w:cs="Times New Roman"/>
          <w:sz w:val="28"/>
          <w:szCs w:val="28"/>
        </w:rPr>
        <w:br/>
      </w:r>
      <w:r w:rsidRPr="00902B68">
        <w:rPr>
          <w:rFonts w:ascii="Times New Roman" w:hAnsi="Times New Roman" w:cs="Times New Roman"/>
          <w:sz w:val="28"/>
          <w:szCs w:val="28"/>
        </w:rPr>
        <w:br/>
        <w:t xml:space="preserve">- величина прожиточного минимума, на 01.07.2021 год, на душу населения, составляет </w:t>
      </w:r>
      <w:r w:rsidRPr="00902B68">
        <w:rPr>
          <w:rFonts w:ascii="Times New Roman" w:hAnsi="Times New Roman" w:cs="Times New Roman"/>
          <w:b/>
          <w:bCs/>
          <w:sz w:val="28"/>
          <w:szCs w:val="28"/>
        </w:rPr>
        <w:t>12.284 т.р</w:t>
      </w:r>
      <w:r w:rsidRPr="00902B68">
        <w:rPr>
          <w:rFonts w:ascii="Times New Roman" w:hAnsi="Times New Roman" w:cs="Times New Roman"/>
          <w:sz w:val="28"/>
          <w:szCs w:val="28"/>
        </w:rPr>
        <w:t xml:space="preserve">., что на 3.5%, чем в 2020 году.  </w:t>
      </w:r>
    </w:p>
    <w:p w:rsidR="00902B68" w:rsidRDefault="00902B68" w:rsidP="00902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слайд 14</w:t>
      </w:r>
    </w:p>
    <w:p w:rsidR="00902B68" w:rsidRDefault="00A67C61" w:rsidP="0090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02B68" w:rsidRPr="00902B6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Заключение</w:t>
      </w:r>
      <w:r w:rsidR="00902B68"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В завершении нашего исследования, мы можем констатировать факт, что реализация государственной политики в сфере занятости молодежи в условиях цифровизации, в муниципальном образовании, возможна, при наличии имеющегося материала по нормативно-правовым и организационным аспектам исследуемой проблемы а,</w:t>
      </w:r>
      <w:r w:rsidR="00902B68"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также, отлаженного механизма по ее реализации.</w:t>
      </w:r>
      <w:r w:rsidR="00902B68" w:rsidRPr="00902B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Реализация  федерального проекта «Содействие занятости населения», имеет свою актуальность и необходимость, в целях снижения уровня безработицы населения, особенно, среди работающей молодежи муниципального образования, представляющую приоритетную социально-демографическую группу населения, а также, содействует исполнению Указа Президента России, от 7 мая 2012г № 601 «Об основных направлениях совершенствования системы государственного управления», имеющее приоритетное значение, в деле, перехода на цифровизацию управления.  </w:t>
      </w:r>
      <w:r w:rsidR="00902B68" w:rsidRPr="00902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B68" w:rsidRPr="00902B68" w:rsidRDefault="00902B68" w:rsidP="00902B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DFC" w:rsidRDefault="00A67C61" w:rsidP="00902B68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</w:p>
    <w:p w:rsidR="004F7DB6" w:rsidRDefault="004F7DB6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E6165" w:rsidRDefault="00645A5A" w:rsidP="00A92B74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45A5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:rsidR="007E6A42" w:rsidRDefault="007E6A42" w:rsidP="007E6A42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sectPr w:rsidR="007E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A"/>
    <w:rsid w:val="00016FFB"/>
    <w:rsid w:val="000309B2"/>
    <w:rsid w:val="000566D4"/>
    <w:rsid w:val="00093D93"/>
    <w:rsid w:val="00094EF0"/>
    <w:rsid w:val="000A52A0"/>
    <w:rsid w:val="000E1A52"/>
    <w:rsid w:val="000E26A3"/>
    <w:rsid w:val="00101F02"/>
    <w:rsid w:val="001B10CC"/>
    <w:rsid w:val="0029301F"/>
    <w:rsid w:val="002A7FEA"/>
    <w:rsid w:val="002B2F9D"/>
    <w:rsid w:val="002C61DC"/>
    <w:rsid w:val="002E2FF4"/>
    <w:rsid w:val="003043E1"/>
    <w:rsid w:val="0031501B"/>
    <w:rsid w:val="00336DD9"/>
    <w:rsid w:val="0037008B"/>
    <w:rsid w:val="00401837"/>
    <w:rsid w:val="00415B33"/>
    <w:rsid w:val="004A1B40"/>
    <w:rsid w:val="004B36DE"/>
    <w:rsid w:val="004D4A8E"/>
    <w:rsid w:val="004D7993"/>
    <w:rsid w:val="004F7DB6"/>
    <w:rsid w:val="00535C5A"/>
    <w:rsid w:val="00547390"/>
    <w:rsid w:val="00570C05"/>
    <w:rsid w:val="005B43EA"/>
    <w:rsid w:val="0060041B"/>
    <w:rsid w:val="0062580D"/>
    <w:rsid w:val="006377F9"/>
    <w:rsid w:val="00645A5A"/>
    <w:rsid w:val="00653ADE"/>
    <w:rsid w:val="006722C2"/>
    <w:rsid w:val="006E6165"/>
    <w:rsid w:val="00766315"/>
    <w:rsid w:val="007822A6"/>
    <w:rsid w:val="007B3A6C"/>
    <w:rsid w:val="007C502C"/>
    <w:rsid w:val="007E1AB8"/>
    <w:rsid w:val="007E6A42"/>
    <w:rsid w:val="00862AB1"/>
    <w:rsid w:val="00885948"/>
    <w:rsid w:val="008C5BAF"/>
    <w:rsid w:val="00902B68"/>
    <w:rsid w:val="00960CD2"/>
    <w:rsid w:val="009C6097"/>
    <w:rsid w:val="009C7BBF"/>
    <w:rsid w:val="009E18AF"/>
    <w:rsid w:val="00A03AEC"/>
    <w:rsid w:val="00A24CF8"/>
    <w:rsid w:val="00A30157"/>
    <w:rsid w:val="00A67C61"/>
    <w:rsid w:val="00A92B74"/>
    <w:rsid w:val="00AC2416"/>
    <w:rsid w:val="00AF6F0C"/>
    <w:rsid w:val="00C04977"/>
    <w:rsid w:val="00C73DA5"/>
    <w:rsid w:val="00C82003"/>
    <w:rsid w:val="00C90C46"/>
    <w:rsid w:val="00CB263C"/>
    <w:rsid w:val="00CC43A2"/>
    <w:rsid w:val="00D60963"/>
    <w:rsid w:val="00D87DFC"/>
    <w:rsid w:val="00DA0145"/>
    <w:rsid w:val="00DA0534"/>
    <w:rsid w:val="00DA126E"/>
    <w:rsid w:val="00DF1B60"/>
    <w:rsid w:val="00E074EA"/>
    <w:rsid w:val="00E20F3C"/>
    <w:rsid w:val="00E44DE0"/>
    <w:rsid w:val="00E53643"/>
    <w:rsid w:val="00E60C3C"/>
    <w:rsid w:val="00E83223"/>
    <w:rsid w:val="00E931FD"/>
    <w:rsid w:val="00F23DB6"/>
    <w:rsid w:val="00F40F2B"/>
    <w:rsid w:val="00F4679B"/>
    <w:rsid w:val="00FA3ECE"/>
    <w:rsid w:val="00FE000C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02C0"/>
  <w15:chartTrackingRefBased/>
  <w15:docId w15:val="{94054845-53BB-4206-BA06-EF04A96A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56</cp:revision>
  <dcterms:created xsi:type="dcterms:W3CDTF">2021-09-28T03:40:00Z</dcterms:created>
  <dcterms:modified xsi:type="dcterms:W3CDTF">2021-10-11T11:08:00Z</dcterms:modified>
</cp:coreProperties>
</file>