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57" w:rsidRDefault="006C5757" w:rsidP="006C5757">
      <w:pPr>
        <w:pStyle w:val="a3"/>
        <w:shd w:val="clear" w:color="auto" w:fill="FFFFFF"/>
        <w:spacing w:before="0" w:beforeAutospacing="0" w:after="0" w:afterAutospacing="0" w:line="360" w:lineRule="auto"/>
        <w:ind w:left="57" w:right="57" w:firstLine="709"/>
        <w:rPr>
          <w:b/>
          <w:color w:val="000000"/>
        </w:rPr>
      </w:pPr>
      <w:proofErr w:type="spellStart"/>
      <w:r>
        <w:rPr>
          <w:b/>
          <w:color w:val="000000"/>
        </w:rPr>
        <w:t>Ткаля</w:t>
      </w:r>
      <w:proofErr w:type="spellEnd"/>
      <w:r>
        <w:rPr>
          <w:b/>
          <w:color w:val="000000"/>
        </w:rPr>
        <w:t xml:space="preserve"> А.А.</w:t>
      </w:r>
    </w:p>
    <w:p w:rsidR="00954C69" w:rsidRPr="006C5757" w:rsidRDefault="00954C69" w:rsidP="006C5757">
      <w:pPr>
        <w:pStyle w:val="a3"/>
        <w:shd w:val="clear" w:color="auto" w:fill="FFFFFF"/>
        <w:spacing w:before="0" w:beforeAutospacing="0" w:after="0" w:afterAutospacing="0" w:line="360" w:lineRule="auto"/>
        <w:ind w:left="57" w:right="57" w:firstLine="709"/>
        <w:jc w:val="center"/>
        <w:rPr>
          <w:b/>
          <w:color w:val="000000"/>
        </w:rPr>
      </w:pPr>
      <w:r w:rsidRPr="006C5757">
        <w:rPr>
          <w:b/>
          <w:color w:val="000000"/>
        </w:rPr>
        <w:t>Игровые технологии в начальной школе</w:t>
      </w:r>
    </w:p>
    <w:p w:rsidR="00D42F27" w:rsidRPr="00954C69" w:rsidRDefault="00D42F27" w:rsidP="006C5757">
      <w:pPr>
        <w:pStyle w:val="a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954C69">
        <w:rPr>
          <w:color w:val="000000"/>
        </w:rPr>
        <w:t xml:space="preserve">В современной начальной школе ребенка недостаточно обучить только чтению, счету и письму. Его необходимо обеспечить новыми умениями. Это универсальные учебные действия, составляющие основу умения учиться, а также сформированная сознательная мотивация к обучению, самоорганизация и саморазвитие. Поэтому необходимо создать такие условия, которые позволят повысить у детей интерес к учебе, научить осознавать, что осталось непонятным, а в конечном итоге научить учиться. И тогда ученик начнет получать радость от процесса самостоятельного познания и от результата своего учебного труда. Игровые технологии являются составной частью педагогических технологий,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учебных предметов. </w:t>
      </w:r>
    </w:p>
    <w:p w:rsidR="00D42F27" w:rsidRPr="00954C69" w:rsidRDefault="00D42F27" w:rsidP="006C5757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954C69">
        <w:rPr>
          <w:color w:val="000000"/>
        </w:rPr>
        <w:t>Занимательность условного мира игры, делает положительно эмоционально окрашенной, а эмоциональность игрового действа активизирует все психологические процессы и функции ребенка. Другой позитивной стороной игры является то, что она способствует использованию знаний в новой ситуации, т.е. усваиваемый учащимися материал проходит через своеобразную практику, вносит разнообразие и заинтересованность в учебный процесс. В силу некоторых причин, игра необычайно привлекательна для участников любого возраста. Школьники тратят массу сил, времени, творческой изобретательности на участие в играх, поэтому, став средством педагогики, игра может использовать весь этот потенциал в «конверсионных» целях. То есть, если мы вложим образовательное содержание в игровую оболочку, то сможем решить одну из ключевых проблем педагогики — проблему мотивации учебной деятельности.</w:t>
      </w:r>
    </w:p>
    <w:p w:rsidR="00D42F27" w:rsidRPr="00954C69" w:rsidRDefault="00D42F27" w:rsidP="006C5757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954C69">
        <w:rPr>
          <w:color w:val="000000"/>
        </w:rPr>
        <w:t xml:space="preserve">На детскую игру можно смотреть по-разному. Но есть законы, не подчиняющиеся ничьим желаниям. Согласно одному из них, если какая-то стадия развития не пройдена полностью, то следующая будет протекать искаженно. Детство — время игры, и если блокировать игровые способности ребёнка, не давая ему наиграться, то на следующих этапах развития он будет доигрывать </w:t>
      </w:r>
      <w:proofErr w:type="spellStart"/>
      <w:r w:rsidRPr="00954C69">
        <w:rPr>
          <w:color w:val="000000"/>
        </w:rPr>
        <w:t>недоигранное</w:t>
      </w:r>
      <w:proofErr w:type="spellEnd"/>
      <w:r w:rsidRPr="00954C69">
        <w:rPr>
          <w:color w:val="000000"/>
        </w:rPr>
        <w:t xml:space="preserve">, </w:t>
      </w:r>
      <w:r w:rsidR="00954C69">
        <w:rPr>
          <w:color w:val="000000"/>
        </w:rPr>
        <w:t>вместо того, чтобы идти вперёд.</w:t>
      </w:r>
    </w:p>
    <w:p w:rsidR="00D42F27" w:rsidRPr="00954C69" w:rsidRDefault="00D42F27" w:rsidP="006C5757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954C69">
        <w:rPr>
          <w:color w:val="000000"/>
        </w:rPr>
        <w:t xml:space="preserve">Понятие «игровые педагогические технологии» включает достаточно обширную группу методов и приемов организации педагогического процесса в форме разнообразных педагогических игр, которые отличаются от игр вообще тем, что они обладают четко поставленной целью обучения и соответствующим ей педагогическим результатом, которые в свою очередь обоснованы, выделены в явном виде и характеризуются учебно-познавательной направленностью. Говоря о характеристиках игры, необходимо отметить </w:t>
      </w:r>
      <w:r w:rsidRPr="00954C69">
        <w:rPr>
          <w:color w:val="000000"/>
        </w:rPr>
        <w:lastRenderedPageBreak/>
        <w:t>особенности их трансформации в игре педагогической: ситуация классно-урочной системы обучения не дает возможности проявиться игре, в так называемом «чистом виде», преподаватель должен организовывать и координировать игровую деятельность детей. Игровая форма занятий создается на уроках при помощи игровых приемов и ситуаций, которые должны выступать как средство побуждения, стимулирования учащихся к учебной деятельности. Реализация игровых приемов и ситуаций при урочной форме занятий проходит по таким основным направлениям:</w:t>
      </w:r>
    </w:p>
    <w:p w:rsidR="00D42F27" w:rsidRPr="00954C69" w:rsidRDefault="00D42F27" w:rsidP="006C5757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954C69">
        <w:rPr>
          <w:color w:val="000000"/>
        </w:rPr>
        <w:t>1. Дидактическая цель ставится перед учащимися в форме игровой задачи.</w:t>
      </w:r>
    </w:p>
    <w:p w:rsidR="00D42F27" w:rsidRPr="00954C69" w:rsidRDefault="00D42F27" w:rsidP="006C5757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954C69">
        <w:rPr>
          <w:color w:val="000000"/>
        </w:rPr>
        <w:t>2. Учебная деятельность подчиняется правилам игры.</w:t>
      </w:r>
    </w:p>
    <w:p w:rsidR="00D42F27" w:rsidRPr="00954C69" w:rsidRDefault="00D42F27" w:rsidP="006C5757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954C69">
        <w:rPr>
          <w:color w:val="000000"/>
        </w:rPr>
        <w:t>3. Учебный материал используется в качестве ее средства.</w:t>
      </w:r>
    </w:p>
    <w:p w:rsidR="00D42F27" w:rsidRPr="00954C69" w:rsidRDefault="00D42F27" w:rsidP="006C5757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954C69">
        <w:rPr>
          <w:color w:val="000000"/>
        </w:rPr>
        <w:t>4. В учебную деятельность вводятся соревнования, которые способствуют переходу дидактических задач в разряд игровых.</w:t>
      </w:r>
    </w:p>
    <w:p w:rsidR="00D42F27" w:rsidRPr="00954C69" w:rsidRDefault="00D42F27" w:rsidP="006C5757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954C69">
        <w:rPr>
          <w:color w:val="000000"/>
        </w:rPr>
        <w:t>5. Успешное выполнение дидактического задания связывается с игровым результатом»</w:t>
      </w:r>
    </w:p>
    <w:p w:rsidR="00D42F27" w:rsidRPr="00954C69" w:rsidRDefault="00D42F27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обеспечивающие привлекательность игр, могут быть трансформированы в требования к играм в образовании:</w:t>
      </w:r>
    </w:p>
    <w:p w:rsidR="00D42F27" w:rsidRPr="00954C69" w:rsidRDefault="00D42F27" w:rsidP="006C575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954C69">
        <w:rPr>
          <w:color w:val="000000"/>
        </w:rPr>
        <w:t>Игровая оболочка: должен быть задан игровая сюжет, мотивирующий всех участников на достижение игровых целей.</w:t>
      </w:r>
      <w:r w:rsidR="00531EC5" w:rsidRPr="00954C69">
        <w:rPr>
          <w:color w:val="000000"/>
        </w:rPr>
        <w:t xml:space="preserve"> </w:t>
      </w:r>
    </w:p>
    <w:p w:rsidR="00D42F27" w:rsidRPr="00954C69" w:rsidRDefault="00D42F27" w:rsidP="006C5757">
      <w:pPr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Включенности каждого: команды в целом и каждого игрока лично. Можно не задавать индивидуальных мотивов, если речь идет, к примеру, о соревновании. Но тогда возможность достижения выигрыша должна быть у каждого члена команды.</w:t>
      </w:r>
    </w:p>
    <w:p w:rsidR="00D42F27" w:rsidRPr="00954C69" w:rsidRDefault="00D42F27" w:rsidP="006C5757">
      <w:pPr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действия для каждого участника. Должны быть проработаны и заложены в игровую оболочку не только мотивы, но и возможность самостоятельного активного действия для каждого игрока, таким образом, чтобы он мог принимать решения, выбирать варианты способов </w:t>
      </w:r>
      <w:proofErr w:type="spellStart"/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действования</w:t>
      </w:r>
      <w:proofErr w:type="spellEnd"/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имел право отказа от действия и т.д.</w:t>
      </w:r>
    </w:p>
    <w:p w:rsidR="00D42F27" w:rsidRPr="00954C69" w:rsidRDefault="00D42F27" w:rsidP="006C5757">
      <w:pPr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игры должен быть различен в зависимости </w:t>
      </w:r>
      <w:proofErr w:type="gramStart"/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усилий</w:t>
      </w:r>
      <w:proofErr w:type="gramEnd"/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играющих; должен быть риск неудачи.</w:t>
      </w:r>
    </w:p>
    <w:p w:rsidR="00D42F27" w:rsidRPr="00954C69" w:rsidRDefault="00D42F27" w:rsidP="006C5757">
      <w:pPr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задания должны быть подобраны так, чтобы их выполнение было связано с определенными сложностями.</w:t>
      </w:r>
    </w:p>
    <w:p w:rsidR="00D42F27" w:rsidRPr="00954C69" w:rsidRDefault="00D42F27" w:rsidP="006C5757">
      <w:pPr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задания должны быть доступны каждому участнику, поэтому необходимо, во-первых, учитывать уровень участников игры; и, </w:t>
      </w:r>
      <w:r w:rsid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задания подбирать с «</w:t>
      </w: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вилкой» от легких (для отработки учебного навыка) до тех, выполнение которых требует значительных усилий (формирование новых знаний и умений).</w:t>
      </w:r>
    </w:p>
    <w:p w:rsidR="00D42F27" w:rsidRPr="00954C69" w:rsidRDefault="00D42F27" w:rsidP="006C5757">
      <w:pPr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Вариативность — в игре не должно быть одного единственно возможного пути достижения цели.</w:t>
      </w:r>
    </w:p>
    <w:p w:rsidR="00D42F27" w:rsidRPr="00954C69" w:rsidRDefault="00D42F27" w:rsidP="006C5757">
      <w:pPr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заложены разные средства для достижения игровых целей.</w:t>
      </w:r>
    </w:p>
    <w:p w:rsidR="00D42F27" w:rsidRPr="00954C69" w:rsidRDefault="00D42F27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развивающих играх</w:t>
      </w:r>
      <w:r w:rsidR="00954C69"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заключается их главная особен</w:t>
      </w: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— удалось объединить один из основных принципов обуче</w:t>
      </w: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— от простого к сложному — с очень важным принципом творческой деятельности — самостоятельно по способностям, ког</w:t>
      </w: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ребенок может подняться до «потолка» своих возможностей.</w:t>
      </w:r>
    </w:p>
    <w:p w:rsidR="00D42F27" w:rsidRPr="00954C69" w:rsidRDefault="00D42F27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младшего школьного возраста характерны яркость и не</w:t>
      </w: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посредственность восприятия, легкость вхождения в образы. Дети легко вовлекаются в любую деятельность, особенно в игровую. Они самостоятельно организуются в групповую игру, продолжа</w:t>
      </w: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 игры с предметами и появляются </w:t>
      </w:r>
      <w:proofErr w:type="spellStart"/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неимитационные</w:t>
      </w:r>
      <w:proofErr w:type="spellEnd"/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игры.</w:t>
      </w:r>
    </w:p>
    <w:p w:rsidR="00D42F27" w:rsidRPr="00954C69" w:rsidRDefault="00D42F27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дидактических игр зависит, во-первых, от систематического их использования, во-вторых, от целенаправ</w:t>
      </w: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ленности программы игр в сочетании с обычными дидактически</w:t>
      </w: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упражнениями.</w:t>
      </w:r>
    </w:p>
    <w:p w:rsidR="00D42F27" w:rsidRPr="00954C69" w:rsidRDefault="00D42F27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технология строится как целостное образование, охва</w:t>
      </w: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элементов. Составление игровых технологий из отдельных игр и элементов — забота каждого учителя начальной школы.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1989 году в издательстве «Русский язык» вышла книга </w:t>
      </w:r>
      <w:proofErr w:type="spellStart"/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П.М.Баева</w:t>
      </w:r>
      <w:proofErr w:type="spellEnd"/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«Играем на уроках русского языка: Пособие для преподавателей зарубежных школ». Автор даёт основное понятие игры как средства обучения и делает такие выводы: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игра — эффективное средство воспитания познавательных интересов и активизации деятельности учащихся;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правильно организованная с учётом специфики материала игра тренирует память, помогает учащимся выработать речевые умения и навыки;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игра стимулирует умственную деятельность учащихся, развивает внимание и познавательный интерес к предмету;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игра — один из приёмов преодоления пассивности учеников;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составе команды каждый ученик несёт ответственность за весь коллектив, каждый заинтересован в лучшем результате своей команды, каждый стремится как можно быстрее и успешнее справиться с заданием. Таким образом, соревнование способствует усилению работоспособности всех учащихся.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Игры, предложенные </w:t>
      </w:r>
      <w:proofErr w:type="spellStart"/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П.М.Баевым</w:t>
      </w:r>
      <w:proofErr w:type="spellEnd"/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зарубежных школ, можно использовать в готовом или изменённом виде на уроках русского языка в русской школе.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облечь урок в игровую форму в школьной практике? Здесь великое множество вариантов, но обязательно соблюдение следующих условий: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соответствие игры учебно-воспитательным целям урока;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доступность для учащихся данного возраста;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умеренность в использовании игр на уроках.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рамках темы можно выделить такие виды уроков: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ролевые игры на уроке (</w:t>
      </w:r>
      <w:proofErr w:type="spellStart"/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игровая организация учебного процесса с использованием игровых заданий (урок-соревнование, урок-конкурс, урок-путешествие, урок -КВН);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игровая организация учебного процесса с использованием заданий, которые обычно предлагаются на традиционном уроке (найди орфограмму, произведи один из видов разбора и т.д.);</w:t>
      </w:r>
    </w:p>
    <w:p w:rsidR="00531EC5" w:rsidRPr="00954C69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использование игры на определённом этапе </w:t>
      </w:r>
      <w:proofErr w:type="gramStart"/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урока(</w:t>
      </w:r>
      <w:proofErr w:type="gramEnd"/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начало, середина, конец; знакомство с новым материалом, закрепление знаний, умений, навыков, повторение и систематизация изученного);</w:t>
      </w:r>
    </w:p>
    <w:p w:rsidR="00954C69" w:rsidRPr="006C5757" w:rsidRDefault="00531EC5" w:rsidP="006C5757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различные виды внеклассной работы по русскому языку (лингвистический КВН, экскурсии, вечера, олимпиады и т.п.), которые могут проводиться между учащимися разн</w:t>
      </w:r>
      <w:r w:rsidR="006C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классов одной параллели.</w:t>
      </w:r>
    </w:p>
    <w:p w:rsidR="00954C69" w:rsidRPr="00954C69" w:rsidRDefault="00954C69" w:rsidP="00954C69">
      <w:pPr>
        <w:pStyle w:val="a3"/>
        <w:spacing w:before="0" w:beforeAutospacing="0" w:after="0" w:afterAutospacing="0" w:line="360" w:lineRule="auto"/>
        <w:ind w:left="57" w:right="57" w:firstLine="709"/>
      </w:pPr>
    </w:p>
    <w:p w:rsidR="00954C69" w:rsidRPr="00954C69" w:rsidRDefault="00954C69" w:rsidP="00954C69">
      <w:pPr>
        <w:spacing w:after="0" w:line="36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4C69" w:rsidRPr="0095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BE" w:rsidRDefault="00A575BE" w:rsidP="006C5757">
      <w:pPr>
        <w:spacing w:after="0" w:line="240" w:lineRule="auto"/>
      </w:pPr>
      <w:r>
        <w:separator/>
      </w:r>
    </w:p>
  </w:endnote>
  <w:endnote w:type="continuationSeparator" w:id="0">
    <w:p w:rsidR="00A575BE" w:rsidRDefault="00A575BE" w:rsidP="006C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BE" w:rsidRDefault="00A575BE" w:rsidP="006C5757">
      <w:pPr>
        <w:spacing w:after="0" w:line="240" w:lineRule="auto"/>
      </w:pPr>
      <w:r>
        <w:separator/>
      </w:r>
    </w:p>
  </w:footnote>
  <w:footnote w:type="continuationSeparator" w:id="0">
    <w:p w:rsidR="00A575BE" w:rsidRDefault="00A575BE" w:rsidP="006C5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88B"/>
    <w:multiLevelType w:val="multilevel"/>
    <w:tmpl w:val="A336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7F0AFA"/>
    <w:multiLevelType w:val="hybridMultilevel"/>
    <w:tmpl w:val="731A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24"/>
    <w:rsid w:val="002D665A"/>
    <w:rsid w:val="00531EC5"/>
    <w:rsid w:val="006C5757"/>
    <w:rsid w:val="00737124"/>
    <w:rsid w:val="00954C69"/>
    <w:rsid w:val="00A575BE"/>
    <w:rsid w:val="00D4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D766"/>
  <w15:chartTrackingRefBased/>
  <w15:docId w15:val="{1191476C-4AC5-4A5D-8715-98E04D40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31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E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2F2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1E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1EC5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5">
    <w:name w:val="Hyperlink"/>
    <w:basedOn w:val="a0"/>
    <w:uiPriority w:val="99"/>
    <w:semiHidden/>
    <w:unhideWhenUsed/>
    <w:rsid w:val="00531E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4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C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5757"/>
  </w:style>
  <w:style w:type="paragraph" w:styleId="a8">
    <w:name w:val="footer"/>
    <w:basedOn w:val="a"/>
    <w:link w:val="a9"/>
    <w:uiPriority w:val="99"/>
    <w:unhideWhenUsed/>
    <w:rsid w:val="006C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2</cp:revision>
  <dcterms:created xsi:type="dcterms:W3CDTF">2020-11-05T15:19:00Z</dcterms:created>
  <dcterms:modified xsi:type="dcterms:W3CDTF">2023-02-28T05:26:00Z</dcterms:modified>
</cp:coreProperties>
</file>