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6" w:rsidRPr="00FC7C7F" w:rsidRDefault="0041770F">
      <w:pPr>
        <w:rPr>
          <w:rFonts w:ascii="Times New Roman" w:hAnsi="Times New Roman" w:cs="Times New Roman"/>
          <w:sz w:val="24"/>
          <w:szCs w:val="24"/>
        </w:rPr>
      </w:pPr>
      <w:r w:rsidRPr="00FC7C7F">
        <w:rPr>
          <w:rFonts w:ascii="Times New Roman" w:hAnsi="Times New Roman" w:cs="Times New Roman"/>
          <w:sz w:val="24"/>
          <w:szCs w:val="24"/>
        </w:rPr>
        <w:t>Здравствуйте. Меня зовут Стреляев Антон, обучающийся 9 класса.</w:t>
      </w:r>
    </w:p>
    <w:p w:rsidR="0041770F" w:rsidRPr="00FC7C7F" w:rsidRDefault="0041770F">
      <w:pPr>
        <w:rPr>
          <w:rFonts w:ascii="Times New Roman" w:hAnsi="Times New Roman" w:cs="Times New Roman"/>
          <w:sz w:val="24"/>
          <w:szCs w:val="24"/>
        </w:rPr>
      </w:pPr>
      <w:r w:rsidRPr="00FC7C7F">
        <w:rPr>
          <w:rFonts w:ascii="Times New Roman" w:hAnsi="Times New Roman" w:cs="Times New Roman"/>
          <w:b/>
          <w:sz w:val="24"/>
          <w:szCs w:val="24"/>
        </w:rPr>
        <w:t>Тема моего проекта</w:t>
      </w:r>
      <w:r w:rsidRPr="00FC7C7F">
        <w:rPr>
          <w:rFonts w:ascii="Times New Roman" w:hAnsi="Times New Roman" w:cs="Times New Roman"/>
          <w:sz w:val="24"/>
          <w:szCs w:val="24"/>
        </w:rPr>
        <w:t xml:space="preserve"> «Уравнения высших степеней».</w:t>
      </w:r>
    </w:p>
    <w:p w:rsidR="0041770F" w:rsidRPr="00FC7C7F" w:rsidRDefault="0041770F" w:rsidP="00417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олимпиад, а также, думаю, и выпускные  экзамены по математике «в скором будущем»,  показывает, что довольно часто приходится сталкиваться с уравнениями высших степеней. Решение таких уравнений зачастую вызывает </w:t>
      </w:r>
      <w:r w:rsidR="002E0F85" w:rsidRPr="00FC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трудности. </w:t>
      </w:r>
      <w:r w:rsidRPr="00FC7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я выбрал эту тему для своей исследовательской работы.</w:t>
      </w:r>
    </w:p>
    <w:p w:rsidR="0041770F" w:rsidRPr="00FC7C7F" w:rsidRDefault="0041770F" w:rsidP="00417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</w:t>
      </w:r>
      <w:r w:rsidRPr="00FC7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C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какие методы решения высших степеней существуют; Научиться решать уравнения высших степеней различными способами.</w:t>
      </w:r>
    </w:p>
    <w:p w:rsidR="009D1C85" w:rsidRPr="00FC7C7F" w:rsidRDefault="009D1C85" w:rsidP="009D1C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 w:rsidRPr="00FC7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FC7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высших степеней</w:t>
      </w:r>
    </w:p>
    <w:p w:rsidR="009D1C85" w:rsidRPr="00FC7C7F" w:rsidRDefault="009D1C85" w:rsidP="009D1C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исследования</w:t>
      </w:r>
      <w:r w:rsidRPr="00FC7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FC7C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литературы, сравнение, обобщение, практический метод</w:t>
      </w:r>
    </w:p>
    <w:p w:rsidR="009D1C85" w:rsidRPr="00FC7C7F" w:rsidRDefault="009D1C85" w:rsidP="009D1C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Pr="00FC7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FC7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различных видов и методов решения уравнений высших степеней, о которых не рассказывается в школьной программе 9 класса.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9100"/>
      </w:tblGrid>
      <w:tr w:rsidR="009D1C85" w:rsidTr="006875D1">
        <w:trPr>
          <w:tblCellSpacing w:w="15" w:type="dxa"/>
        </w:trPr>
        <w:tc>
          <w:tcPr>
            <w:tcW w:w="300" w:type="dxa"/>
            <w:shd w:val="clear" w:color="auto" w:fill="auto"/>
          </w:tcPr>
          <w:p w:rsidR="009D1C85" w:rsidRDefault="009D1C85" w:rsidP="006875D1">
            <w:r>
              <w:t> 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1C85" w:rsidRPr="00FC7C7F" w:rsidRDefault="009D1C85" w:rsidP="0068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Некоторые виды уравнений высших степеней можно решить, используя квадратное уравнение. Иногда можно разложить левую часть уравнения на множители, каждый из которых является многочленом не выше второй</w:t>
            </w:r>
            <w:r w:rsidR="002E0F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r w:rsidR="002E0F85" w:rsidRPr="00FC7C7F">
              <w:rPr>
                <w:rFonts w:ascii="Times New Roman" w:hAnsi="Times New Roman" w:cs="Times New Roman"/>
                <w:sz w:val="24"/>
                <w:szCs w:val="24"/>
              </w:rPr>
              <w:t>ни. Пример такого уравнения видим:</w:t>
            </w:r>
          </w:p>
          <w:p w:rsidR="009D1C85" w:rsidRPr="00FC7C7F" w:rsidRDefault="009D1C85" w:rsidP="0068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  3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FC7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FC7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C7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= 0 . </w:t>
            </w:r>
            <w:r w:rsidR="002E0F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Р е ш е н и е .  Разложим левую часть этого уравнения на множители:</w:t>
            </w:r>
          </w:p>
          <w:p w:rsidR="009D1C85" w:rsidRPr="00FC7C7F" w:rsidRDefault="00522024" w:rsidP="0068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( 3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</w:rPr>
              <w:t>+  6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</w:rPr>
              <w:t>–  9 ) .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F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Решим уравнение:  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E0F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= 0; оно имеет  корень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9D1C85"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="009D1C85" w:rsidRPr="00FC7C7F">
              <w:rPr>
                <w:rFonts w:ascii="Times New Roman" w:hAnsi="Times New Roman" w:cs="Times New Roman"/>
                <w:sz w:val="24"/>
                <w:szCs w:val="24"/>
              </w:rPr>
              <w:t>0 .</w:t>
            </w:r>
          </w:p>
          <w:p w:rsidR="009D1C85" w:rsidRPr="00FC7C7F" w:rsidRDefault="009D1C85" w:rsidP="0068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  Теперь решим уравнение: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FC7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– 9 = 0,  и полу</w:t>
            </w:r>
            <w:r w:rsidR="00522024" w:rsidRPr="00FC7C7F">
              <w:rPr>
                <w:rFonts w:ascii="Times New Roman" w:hAnsi="Times New Roman" w:cs="Times New Roman"/>
                <w:sz w:val="24"/>
                <w:szCs w:val="24"/>
              </w:rPr>
              <w:t>чим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2E0F85" w:rsidRPr="00FC7C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1  и  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2E0F85" w:rsidRPr="00FC7C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  <w:p w:rsidR="00FC7C7F" w:rsidRPr="00FC7C7F" w:rsidRDefault="009D1C85" w:rsidP="00687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7F">
              <w:rPr>
                <w:rFonts w:ascii="Times New Roman" w:hAnsi="Times New Roman" w:cs="Times New Roman"/>
                <w:b/>
                <w:sz w:val="24"/>
                <w:szCs w:val="24"/>
              </w:rPr>
              <w:t>   </w:t>
            </w:r>
            <w:r w:rsidR="002E0F85" w:rsidRPr="00FC7C7F">
              <w:rPr>
                <w:rFonts w:ascii="Times New Roman" w:hAnsi="Times New Roman" w:cs="Times New Roman"/>
                <w:b/>
                <w:sz w:val="24"/>
                <w:szCs w:val="24"/>
              </w:rPr>
              <w:t> Я задался вопросом: может ли биквадратное уравнение иметь ровно 3 действительных</w:t>
            </w:r>
            <w:r w:rsidR="00FC7C7F" w:rsidRPr="00F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2E0F85" w:rsidRPr="00F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орня? </w:t>
            </w:r>
          </w:p>
          <w:p w:rsidR="002E0F85" w:rsidRPr="00FC7C7F" w:rsidRDefault="002E0F85" w:rsidP="0068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7F">
              <w:rPr>
                <w:rFonts w:ascii="Times New Roman" w:hAnsi="Times New Roman" w:cs="Times New Roman"/>
                <w:sz w:val="24"/>
                <w:szCs w:val="24"/>
              </w:rPr>
              <w:t>Провёл исследования и получил вывод: биквадратное уравнение может иметь 4 корня, либо 2 или не иметь вообще корней.</w:t>
            </w:r>
          </w:p>
          <w:p w:rsidR="009D1C85" w:rsidRPr="00FC7C7F" w:rsidRDefault="002E0F85" w:rsidP="00FC7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7F">
              <w:rPr>
                <w:rFonts w:ascii="Times New Roman" w:hAnsi="Times New Roman" w:cs="Times New Roman"/>
                <w:b/>
                <w:sz w:val="24"/>
                <w:szCs w:val="24"/>
              </w:rPr>
              <w:t>Особую трудность вызывают уравнения 3-ей степени.</w:t>
            </w:r>
          </w:p>
        </w:tc>
      </w:tr>
      <w:tr w:rsidR="009D1C85" w:rsidTr="00522024">
        <w:trPr>
          <w:trHeight w:val="678"/>
          <w:tblCellSpacing w:w="15" w:type="dxa"/>
        </w:trPr>
        <w:tc>
          <w:tcPr>
            <w:tcW w:w="0" w:type="auto"/>
            <w:shd w:val="clear" w:color="auto" w:fill="auto"/>
          </w:tcPr>
          <w:p w:rsidR="009D1C85" w:rsidRDefault="009D1C85" w:rsidP="006875D1"/>
        </w:tc>
        <w:tc>
          <w:tcPr>
            <w:tcW w:w="0" w:type="auto"/>
            <w:shd w:val="clear" w:color="auto" w:fill="auto"/>
          </w:tcPr>
          <w:p w:rsidR="00522024" w:rsidRDefault="00FC7C7F" w:rsidP="00687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     </w:t>
            </w:r>
            <w:r w:rsidR="000D0227">
              <w:rPr>
                <w:sz w:val="16"/>
                <w:szCs w:val="16"/>
              </w:rPr>
              <w:t>    </w:t>
            </w:r>
            <w:r w:rsidR="009D1C85">
              <w:rPr>
                <w:sz w:val="16"/>
                <w:szCs w:val="16"/>
              </w:rPr>
              <w:t>                      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8"/>
              <w:gridCol w:w="8567"/>
            </w:tblGrid>
            <w:tr w:rsidR="00522024" w:rsidTr="00234DA8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:rsidR="00522024" w:rsidRDefault="00522024" w:rsidP="00234DA8">
                  <w:r>
                    <w:t> 1).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522024" w:rsidRDefault="00522024" w:rsidP="00234DA8">
                  <w:pPr>
                    <w:spacing w:before="100" w:beforeAutospacing="1" w:after="100" w:afterAutospacing="1"/>
                  </w:pPr>
                  <w:r>
                    <w:t xml:space="preserve">Сначала путём перебора найдём один из корней уравнения. Дело в том, что кубические уравнения всегда имеют </w:t>
                  </w:r>
                  <w:r>
                    <w:rPr>
                      <w:i/>
                      <w:iCs/>
                    </w:rPr>
                    <w:t>по крайней мере один</w:t>
                  </w:r>
                  <w:r>
                    <w:t xml:space="preserve"> действительный корень, причем целый корень кубического уравнения с целыми коэффициентами является делителем свободного члена  </w:t>
                  </w:r>
                  <w:r>
                    <w:rPr>
                      <w:i/>
                      <w:iCs/>
                    </w:rPr>
                    <w:t>d.</w:t>
                  </w:r>
                  <w:r>
                    <w:t xml:space="preserve"> Коэффициенты этих уравнений обычно подобраны так, что искомый корень лежит среди небольших целых чисел, таких как:  0, </w:t>
                  </w:r>
                  <w:r>
                    <w:rPr>
                      <w:rFonts w:ascii="Symbol" w:hAnsi="Symbol"/>
                    </w:rPr>
                    <w:t></w:t>
                  </w:r>
                  <w:r>
                    <w:t xml:space="preserve"> 1, </w:t>
                  </w:r>
                  <w:r>
                    <w:rPr>
                      <w:rFonts w:ascii="Symbol" w:hAnsi="Symbol"/>
                    </w:rPr>
                    <w:t></w:t>
                  </w:r>
                  <w:r>
                    <w:t xml:space="preserve"> 2, </w:t>
                  </w:r>
                  <w:r>
                    <w:rPr>
                      <w:rFonts w:ascii="Symbol" w:hAnsi="Symbol"/>
                    </w:rPr>
                    <w:t></w:t>
                  </w:r>
                  <w:r>
                    <w:t xml:space="preserve"> 3. Поэтому мы будем искать корень среди этих чисел и проверять его путём подстановки в уравнение. Вероятность успеха при таком подходе очень высока. Предположим, что этот корень  </w:t>
                  </w:r>
                  <w:r>
                    <w:rPr>
                      <w:i/>
                      <w:iCs/>
                    </w:rPr>
                    <w:t>x</w:t>
                  </w:r>
                  <w:r>
                    <w:rPr>
                      <w:sz w:val="20"/>
                      <w:szCs w:val="20"/>
                      <w:vertAlign w:val="subscript"/>
                    </w:rPr>
                    <w:t>1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t>.</w:t>
                  </w:r>
                </w:p>
              </w:tc>
            </w:tr>
            <w:tr w:rsidR="00522024" w:rsidTr="00234DA8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:rsidR="00522024" w:rsidRDefault="00522024" w:rsidP="00234DA8">
                  <w:r>
                    <w:t>   2).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522024" w:rsidRDefault="00522024" w:rsidP="00234DA8">
                  <w:r>
                    <w:t xml:space="preserve">Вторая стадия решения – это деление многочлена 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i/>
                      <w:iCs/>
                    </w:rPr>
                    <w:t>ax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i/>
                      <w:iCs/>
                    </w:rPr>
                    <w:t>+ bx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+ cx+ d</w:t>
                  </w:r>
                  <w:r>
                    <w:t xml:space="preserve"> на двучлен  </w:t>
                  </w:r>
                  <w:r>
                    <w:rPr>
                      <w:i/>
                      <w:iCs/>
                    </w:rPr>
                    <w:t>x</w:t>
                  </w:r>
                  <w:r>
                    <w:t xml:space="preserve"> – </w:t>
                  </w:r>
                  <w:r>
                    <w:rPr>
                      <w:i/>
                      <w:iCs/>
                    </w:rPr>
                    <w:t>x</w:t>
                  </w:r>
                  <w:r>
                    <w:rPr>
                      <w:sz w:val="20"/>
                      <w:szCs w:val="20"/>
                      <w:vertAlign w:val="subscript"/>
                    </w:rPr>
                    <w:t>1</w:t>
                  </w:r>
                  <w:r>
                    <w:t>. Согласно</w:t>
                  </w:r>
                  <w:r>
                    <w:rPr>
                      <w:i/>
                      <w:iCs/>
                    </w:rPr>
                    <w:t xml:space="preserve"> теореме Безу, </w:t>
                  </w:r>
                  <w:r>
                    <w:t>это деление без остатка возможно, и мы получим в результате многочлен второй степени, который надо приравнять к нулю. Решая полученное квадратное уравнение, мы найдём (или нет!) оставшиеся два корн</w:t>
                  </w:r>
                  <w:r w:rsidR="002E0F85">
                    <w:t>я</w:t>
                  </w:r>
                  <w:r w:rsidR="00074E83">
                    <w:t>.</w:t>
                  </w:r>
                </w:p>
                <w:p w:rsidR="00074E83" w:rsidRDefault="00074E83" w:rsidP="00234DA8">
                  <w:pPr>
                    <w:rPr>
                      <w:sz w:val="20"/>
                      <w:szCs w:val="20"/>
                    </w:rPr>
                  </w:pPr>
                  <w:r>
                    <w:t>Пример решения уравнения  3-ей степени я представил на слайде.</w:t>
                  </w:r>
                </w:p>
                <w:p w:rsidR="00522024" w:rsidRDefault="00522024" w:rsidP="00234DA8">
                  <w:pPr>
                    <w:rPr>
                      <w:sz w:val="20"/>
                      <w:szCs w:val="20"/>
                    </w:rPr>
                  </w:pPr>
                </w:p>
                <w:p w:rsidR="000D0227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Вот ещё пример решения уравнения деление уголком.( слайд)</w:t>
                  </w:r>
                </w:p>
                <w:p w:rsidR="00522024" w:rsidRPr="00C93AAB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  </w:t>
                  </w:r>
                </w:p>
                <w:p w:rsidR="00522024" w:rsidRPr="00C93AAB" w:rsidRDefault="00522024" w:rsidP="00FC7C7F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Функционально-графический метод</w:t>
                  </w:r>
                </w:p>
                <w:p w:rsidR="00522024" w:rsidRPr="00C93AAB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основан на использовании графических иллюстраций или каких-либо свойств функций. В одной системе координат строим графики функций, записанные в левой и в правой частях уравнения, затем, находим точку (точки) их пересечения. Абсцисса найденной точки является решением уравнения.</w:t>
                  </w:r>
                </w:p>
                <w:p w:rsidR="00522024" w:rsidRPr="00C93AAB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Примеры решения уравнений функционально-графическим методом:</w:t>
                  </w:r>
                </w:p>
                <w:p w:rsidR="00522024" w:rsidRPr="00C93AAB" w:rsidRDefault="00522024" w:rsidP="00234DA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Решить уравнение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√х=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219075" cy="161925"/>
                        <wp:effectExtent l="19050" t="0" r="9525" b="0"/>
                        <wp:docPr id="4" name="Рисунок 20" descr="https://fsd.multiurok.ru/html/2017/11/15/s_5a0c0d8f0c4dd/743494_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fsd.multiurok.ru/html/2017/11/15/s_5a0c0d8f0c4dd/743494_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024" w:rsidRPr="00C93AAB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Построим в одной системе координат графики функций y=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5" name="Рисунок 21" descr="https://fsd.multiurok.ru/html/2017/11/15/s_5a0c0d8f0c4dd/743494_2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fsd.multiurok.ru/html/2017/11/15/s_5a0c0d8f0c4dd/743494_2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и y=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219075" cy="142875"/>
                        <wp:effectExtent l="19050" t="0" r="9525" b="0"/>
                        <wp:docPr id="6" name="Рисунок 22" descr="https://fsd.multiurok.ru/html/2017/11/15/s_5a0c0d8f0c4dd/743494_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fsd.multiurok.ru/html/2017/11/15/s_5a0c0d8f0c4dd/743494_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024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D186C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2371725" cy="1628775"/>
                        <wp:effectExtent l="19050" t="0" r="9525" b="0"/>
                        <wp:docPr id="7" name="Рисунок 23" descr="https://fsd.multiurok.ru/html/2017/11/15/s_5a0c0d8f0c4dd/743494_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fsd.multiurok.ru/html/2017/11/15/s_5a0c0d8f0c4dd/743494_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024" w:rsidRPr="00C93AAB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Они пересекаются в двух точках A(1;1) и B(4;2).</w:t>
                  </w:r>
                </w:p>
                <w:p w:rsidR="00522024" w:rsidRPr="00C93AAB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Значит, уравнение имеет два корня: х</w:t>
                  </w:r>
                  <w:r w:rsidRPr="00C93AA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vertAlign w:val="subscript"/>
                      <w:lang w:eastAsia="ru-RU"/>
                    </w:rPr>
                    <w:t>1</w:t>
                  </w: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=1, х</w:t>
                  </w:r>
                  <w:r w:rsidRPr="00C93AA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=4.</w:t>
                  </w:r>
                </w:p>
                <w:p w:rsidR="00522024" w:rsidRPr="00C93AAB" w:rsidRDefault="00522024" w:rsidP="00234DA8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93AA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Ответ: 1;4.</w:t>
                  </w:r>
                </w:p>
                <w:p w:rsidR="00522024" w:rsidRPr="00FC7C7F" w:rsidRDefault="00074E83" w:rsidP="00234DA8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Следующий вид уравнений – </w:t>
                  </w:r>
                  <w:r w:rsidRPr="00FC7C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eastAsia="ru-RU"/>
                    </w:rPr>
                    <w:t>возвратные (или симметричные),</w:t>
                  </w: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 у которых коэффициенты членов, равноудалённых от начала и конца уравнения, равны между собой. Их метод решения сводится к делению всех членов уравнения на х</w:t>
                  </w: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vertAlign w:val="superscript"/>
                      <w:lang w:eastAsia="ru-RU"/>
                    </w:rPr>
                    <w:t>2</w:t>
                  </w: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, а затем замена.</w:t>
                  </w:r>
                </w:p>
                <w:p w:rsidR="00074E83" w:rsidRPr="00FC7C7F" w:rsidRDefault="00074E83" w:rsidP="00234DA8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Встречаются и </w:t>
                  </w:r>
                  <w:r w:rsidRPr="00FC7C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eastAsia="ru-RU"/>
                    </w:rPr>
                    <w:t>однородные уравнения</w:t>
                  </w: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, у которых в левой части находятся одночлены одной степени, а правая часть равна нулю.</w:t>
                  </w:r>
                  <w:r w:rsidR="00BD528E"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Чтобы решить такое уравнение, нужно обе его части разделить на одно из неизвестных в степени каждого многочлена, с учетом, что он не равен нулю.</w:t>
                  </w:r>
                </w:p>
                <w:p w:rsidR="00BD528E" w:rsidRPr="00FC7C7F" w:rsidRDefault="00BD528E" w:rsidP="00BD528E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Пример решения однородного уравнения:</w:t>
                  </w:r>
                </w:p>
                <w:p w:rsidR="00522024" w:rsidRPr="00FC7C7F" w:rsidRDefault="00BD528E" w:rsidP="00234DA8">
                  <w:pPr>
                    <w:pStyle w:val="a3"/>
                    <w:rPr>
                      <w:szCs w:val="22"/>
                    </w:rPr>
                  </w:pPr>
                  <w:r w:rsidRPr="00FC7C7F">
                    <w:rPr>
                      <w:szCs w:val="22"/>
                    </w:rPr>
                    <w:t>Современное образование невозможно представить без использования цифровых технологий. Свои знания можно черпать</w:t>
                  </w:r>
                  <w:r w:rsidRPr="00FC7C7F">
                    <w:rPr>
                      <w:b/>
                      <w:szCs w:val="22"/>
                    </w:rPr>
                    <w:t>, работая с цифровыми платформами, например РЭШ(Российская электронная школа), где можно смотреть</w:t>
                  </w:r>
                  <w:r w:rsidRPr="00FC7C7F">
                    <w:rPr>
                      <w:szCs w:val="22"/>
                    </w:rPr>
                    <w:t xml:space="preserve"> видеолекции, выполнять всевозможные интерактивные тесты и др.задания и не только по моей выбранной теме, а по всему курсу Математики, сразу виден результат, над чем задуматься и доработать. Очень интересные онлайн тесты на </w:t>
                  </w:r>
                  <w:r w:rsidRPr="00FC7C7F">
                    <w:rPr>
                      <w:b/>
                      <w:szCs w:val="22"/>
                    </w:rPr>
                    <w:t xml:space="preserve">платформе </w:t>
                  </w:r>
                  <w:r w:rsidR="0034136E" w:rsidRPr="00FC7C7F">
                    <w:rPr>
                      <w:b/>
                      <w:szCs w:val="22"/>
                      <w:lang w:val="en-US"/>
                    </w:rPr>
                    <w:t>skills</w:t>
                  </w:r>
                  <w:r w:rsidR="0034136E" w:rsidRPr="00FC7C7F">
                    <w:rPr>
                      <w:b/>
                      <w:szCs w:val="22"/>
                    </w:rPr>
                    <w:t>,</w:t>
                  </w:r>
                  <w:r w:rsidR="0034136E" w:rsidRPr="00FC7C7F">
                    <w:rPr>
                      <w:szCs w:val="22"/>
                    </w:rPr>
                    <w:t xml:space="preserve"> большая подготовка к экзамену на РЕШУ ОГЭ, часто используем </w:t>
                  </w:r>
                  <w:r w:rsidR="0034136E" w:rsidRPr="00FC7C7F">
                    <w:rPr>
                      <w:szCs w:val="22"/>
                      <w:lang w:val="en-US"/>
                    </w:rPr>
                    <w:t>ZOOM</w:t>
                  </w:r>
                  <w:r w:rsidR="0034136E" w:rsidRPr="00FC7C7F">
                    <w:rPr>
                      <w:szCs w:val="22"/>
                    </w:rPr>
                    <w:t xml:space="preserve"> для видео конференций.</w:t>
                  </w:r>
                </w:p>
                <w:p w:rsidR="00522024" w:rsidRDefault="0034136E" w:rsidP="000D0227">
                  <w:pPr>
                    <w:shd w:val="clear" w:color="auto" w:fill="FFFFFF"/>
                    <w:spacing w:after="150" w:line="240" w:lineRule="auto"/>
                  </w:pPr>
                  <w:r w:rsidRPr="00FC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Таким образом, моя гипотеза, выдвинутая в начале работы, оказалась верна. В ходе исследовательской работы я научился решать однородные и возвратные уравнения, познакомился с теоремой Безу, а также узнал о многих учёных, которые внесли большой вклад в историю математики при подготовке к этому проекту.</w:t>
                  </w:r>
                  <w:r w:rsidRPr="00FC7C7F">
                    <w:rPr>
                      <w:rFonts w:ascii="Arial" w:eastAsia="Times New Roman" w:hAnsi="Arial" w:cs="Arial"/>
                      <w:color w:val="000000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9D1C85" w:rsidRDefault="009D1C85" w:rsidP="006875D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              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t>                          </w:t>
            </w:r>
            <w:r w:rsidR="00E6701E">
              <w:t>                      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 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lastRenderedPageBreak/>
              <w:t>                               </w:t>
            </w:r>
            <w:r w:rsidR="00E6701E">
              <w:t>                           </w:t>
            </w:r>
          </w:p>
          <w:p w:rsidR="00522024" w:rsidRDefault="009D1C85" w:rsidP="00522024">
            <w:pPr>
              <w:spacing w:after="240"/>
            </w:pPr>
            <w:r>
              <w:rPr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 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t>                        </w:t>
            </w:r>
            <w:r w:rsidR="00E6701E">
              <w:t>                              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 </w:t>
            </w:r>
          </w:p>
          <w:p w:rsidR="009D1C85" w:rsidRDefault="00E6701E" w:rsidP="006875D1">
            <w:pPr>
              <w:rPr>
                <w:sz w:val="20"/>
                <w:szCs w:val="20"/>
              </w:rPr>
            </w:pPr>
            <w:r>
              <w:t>  </w:t>
            </w:r>
            <w:r w:rsidR="009D1C85">
              <w:t xml:space="preserve">                   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 </w:t>
            </w:r>
          </w:p>
          <w:p w:rsidR="009D1C85" w:rsidRDefault="009D1C85" w:rsidP="006875D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 </w:t>
            </w:r>
          </w:p>
          <w:p w:rsidR="009D1C85" w:rsidRDefault="00C3324C" w:rsidP="00E6701E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     </w:t>
            </w:r>
          </w:p>
        </w:tc>
      </w:tr>
      <w:tr w:rsidR="009D1C85" w:rsidTr="00522024">
        <w:trPr>
          <w:trHeight w:val="50"/>
          <w:tblCellSpacing w:w="15" w:type="dxa"/>
        </w:trPr>
        <w:tc>
          <w:tcPr>
            <w:tcW w:w="0" w:type="auto"/>
            <w:shd w:val="clear" w:color="auto" w:fill="auto"/>
          </w:tcPr>
          <w:p w:rsidR="009D1C85" w:rsidRDefault="009D1C85" w:rsidP="006875D1"/>
        </w:tc>
        <w:tc>
          <w:tcPr>
            <w:tcW w:w="0" w:type="auto"/>
            <w:shd w:val="clear" w:color="auto" w:fill="auto"/>
          </w:tcPr>
          <w:p w:rsidR="009D1C85" w:rsidRDefault="009D1C85" w:rsidP="006875D1"/>
        </w:tc>
      </w:tr>
    </w:tbl>
    <w:p w:rsidR="00DD186C" w:rsidRPr="00C93AAB" w:rsidRDefault="00DD186C" w:rsidP="005220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A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324C" w:rsidRPr="00C93AAB" w:rsidRDefault="00C3324C" w:rsidP="00DD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1C85" w:rsidRDefault="009D1C85"/>
    <w:sectPr w:rsidR="009D1C85" w:rsidSect="002E0F8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D7" w:rsidRDefault="00D743D7" w:rsidP="00C3324C">
      <w:pPr>
        <w:spacing w:after="0" w:line="240" w:lineRule="auto"/>
      </w:pPr>
      <w:r>
        <w:separator/>
      </w:r>
    </w:p>
  </w:endnote>
  <w:endnote w:type="continuationSeparator" w:id="1">
    <w:p w:rsidR="00D743D7" w:rsidRDefault="00D743D7" w:rsidP="00C3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D7" w:rsidRDefault="00D743D7" w:rsidP="00C3324C">
      <w:pPr>
        <w:spacing w:after="0" w:line="240" w:lineRule="auto"/>
      </w:pPr>
      <w:r>
        <w:separator/>
      </w:r>
    </w:p>
  </w:footnote>
  <w:footnote w:type="continuationSeparator" w:id="1">
    <w:p w:rsidR="00D743D7" w:rsidRDefault="00D743D7" w:rsidP="00C3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A17"/>
    <w:multiLevelType w:val="multilevel"/>
    <w:tmpl w:val="3AB8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5E68"/>
    <w:multiLevelType w:val="multilevel"/>
    <w:tmpl w:val="FBD2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B28D4"/>
    <w:multiLevelType w:val="multilevel"/>
    <w:tmpl w:val="26F2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743BB"/>
    <w:multiLevelType w:val="multilevel"/>
    <w:tmpl w:val="561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D5E4B"/>
    <w:multiLevelType w:val="multilevel"/>
    <w:tmpl w:val="756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7344D"/>
    <w:multiLevelType w:val="multilevel"/>
    <w:tmpl w:val="6532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46C13"/>
    <w:multiLevelType w:val="multilevel"/>
    <w:tmpl w:val="ABFC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D66B4"/>
    <w:multiLevelType w:val="multilevel"/>
    <w:tmpl w:val="AEEE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00789"/>
    <w:multiLevelType w:val="multilevel"/>
    <w:tmpl w:val="926E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202E7"/>
    <w:multiLevelType w:val="multilevel"/>
    <w:tmpl w:val="F062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213A7"/>
    <w:multiLevelType w:val="multilevel"/>
    <w:tmpl w:val="5C2C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F7E53"/>
    <w:multiLevelType w:val="multilevel"/>
    <w:tmpl w:val="167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70F"/>
    <w:rsid w:val="00074E83"/>
    <w:rsid w:val="000D0227"/>
    <w:rsid w:val="000D6089"/>
    <w:rsid w:val="000F6DAE"/>
    <w:rsid w:val="00103AC8"/>
    <w:rsid w:val="0012197E"/>
    <w:rsid w:val="00200B31"/>
    <w:rsid w:val="00230324"/>
    <w:rsid w:val="002E0F85"/>
    <w:rsid w:val="0034136E"/>
    <w:rsid w:val="00354F57"/>
    <w:rsid w:val="0041770F"/>
    <w:rsid w:val="004B4251"/>
    <w:rsid w:val="00522024"/>
    <w:rsid w:val="00554FF5"/>
    <w:rsid w:val="007F4544"/>
    <w:rsid w:val="008F6E89"/>
    <w:rsid w:val="009876A5"/>
    <w:rsid w:val="009D1C85"/>
    <w:rsid w:val="009E56B2"/>
    <w:rsid w:val="00A87824"/>
    <w:rsid w:val="00AC2DD0"/>
    <w:rsid w:val="00BD528E"/>
    <w:rsid w:val="00BF14AD"/>
    <w:rsid w:val="00C3324C"/>
    <w:rsid w:val="00D546F3"/>
    <w:rsid w:val="00D743D7"/>
    <w:rsid w:val="00DD186C"/>
    <w:rsid w:val="00E6701E"/>
    <w:rsid w:val="00FC7C7F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3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324C"/>
  </w:style>
  <w:style w:type="paragraph" w:styleId="a8">
    <w:name w:val="footer"/>
    <w:basedOn w:val="a"/>
    <w:link w:val="a9"/>
    <w:uiPriority w:val="99"/>
    <w:semiHidden/>
    <w:unhideWhenUsed/>
    <w:rsid w:val="00C3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3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2020-12-06T14:08:00Z</cp:lastPrinted>
  <dcterms:created xsi:type="dcterms:W3CDTF">2020-12-04T16:06:00Z</dcterms:created>
  <dcterms:modified xsi:type="dcterms:W3CDTF">2020-12-06T14:11:00Z</dcterms:modified>
</cp:coreProperties>
</file>