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ПЕРВАЯ МИРОВАЯ ВОЙНА И СИМБИРСКАЯ ГУБЕРНИЯ, начало военных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действий в Симбирске многие встретили восторженно, украсили свои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дома национальными флагами, из уездов приходили известия о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совершении молебнов запасными и прочим населением о здравии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императора и о даровании победы русскому воинству. Настроение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народа достигло невиданного подъема и силы. Мусульманское</w:t>
      </w:r>
    </w:p>
    <w:p w:rsidR="009D183C" w:rsidRPr="009D183C" w:rsidRDefault="009D183C" w:rsidP="009D183C">
      <w:pPr>
        <w:pStyle w:val="1"/>
        <w:rPr>
          <w:rStyle w:val="a6"/>
        </w:rPr>
      </w:pPr>
      <w:bookmarkStart w:id="0" w:name="_GoBack"/>
      <w:r w:rsidRPr="009D183C">
        <w:rPr>
          <w:rStyle w:val="a6"/>
        </w:rPr>
        <w:t>население, совершив моление, двигалось по улицам города с</w:t>
      </w:r>
    </w:p>
    <w:bookmarkEnd w:id="0"/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портретом царя и пением гимна «Боже, царя храни» на татарском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языке.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Мобилизация в губернии проходила благополучно, не считая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разграбления  запасными казенных винных лавок и трактиров. Для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устранения беспорядков и грабежа на сборном пункте воинским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начальником было отдано распоряжение открыть огонь, в результате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оказалось убито пятеро, ранено четверо человек, арестовано трое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зачинщиков. Военно-полевой суд в 24 часа рассмотрел дело, и двое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из зачинщиков были приговорены к смертной казни — фельдфебель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Алексей Соколов и бомбардир Никита Пупков. Срочно стали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поступать распоряжения «о закрытии питейной торговли».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12 авг. 1914  собралось чрезвычайное губернское дворянское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собрание под руководством симбирского губернского предводителя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дворянства, гофмейстера высочайшего двора Владимира Николаевича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Поливанова. Собрание рассматривало вопросы — об избрании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представителя от дворянства на Всероссийский съезд для оказания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lastRenderedPageBreak/>
        <w:t>помощи раненым, об объединении дворянской организации и о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размере пожертвований на нужды, вызванные военными действиями.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Согласно постановлению чрезвычайного губернского дворянского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собрания начался сбор на военные нужды по окладным листам с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городских недвижимых имуществ.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30 июля 1914 открылось заседание Комитета по сбору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пожертвований и оказанию помощи семьям призванных на войну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нижних чинов. Уже к 5 авг. 1914 было собрано 4.997 руб. 41 коп.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Денежные суммы для оказания благотворительной помощи семьям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лиц, призванных на войну, поступили от Симбирского отделения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Елизаветинского комитета.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С 3 окт. 1914 на пожертвованные средства при губернаторском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доме открылся лазарет для раненых и больных воинов. Также шел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отбор и отправка больных и нуждающихся воинов в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санаторно-курортном лечении в Крым, на Кавказ и в другие районы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России. Был введен льготный тариф на бесплатный проезд по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железной дороге бедствующим семьям нижних чинов запаса и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ополчения, отправляющимся на родину (не более одного раза на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каждую семью). Принимались меры по организации помощи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хозяйствам нижних чинов, призванных на действительную военную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службу, при обработке и засеве яровых полей весной 1915.  Земским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начальникам губернии было предложено незамедлительно объехать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участки с целью оказания помощи семьям призванных на войну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lastRenderedPageBreak/>
        <w:t>денежными пособиями или рабочими руками. К добровольному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участию в деле помощи привлекались местные сельскохозяйственные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и кооперативные общества, благотворительные учреждения и частные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лица. Председатели земских управ  предоставили семьям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военнослужащих  в бесплатное пользование имеющийся в их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распоряжении на прокатных станциях сельскохозяйственный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инвентарь с оказанием квалифицированной помощи агрономов и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инструкторов.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В условиях военного времени подняла голову спекуляция. Особый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комитет по управлению Московско-Казанской железной дорогой издал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обязательное постановление, в котором служащим в магазинах,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вагонах-лавках и складах общества потребителей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Московско-Казанской железной дороги воспрещалось при отпуске и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продаже товаров превышать установленные нормы. Агентам дороги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воспрещалось перепродавать товары, приобретенные в магазинах и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вагонах-лавках общества потребителей. Виновные в нарушении этого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обязательного постановления подвергались в административном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порядке аресту до трех месяцев или денежному штрафу до 500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рублей.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Война неоднозначно повлияла на различные отрасли губернской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промышленности и сельского хозяйства. Так, например, суконные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фабрики, а их на 1913 в губ.  насчитывалось 17, уже в конце лета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1914 получили крупные заказы на казенные сукна, а также не менее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lastRenderedPageBreak/>
        <w:t>крупные суммы на расширение производства. К кон. 1917 общая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производительность симбирских суконных фабрик выросла в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полтора-два раза. За счет крупных заказов военных ведомств в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1914—1917 произошел подъем и таких отраслей, как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металлообрабатывающая, кожевенная, химическая.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В 1914 в Симбирске началось строительство 3-го казенного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патронного завода в заволжской слободе Часовне. Проектная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годовая мощность его исчислялась 70 млн. патронов калибра 7,62 мм,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100 тыс. пушечных гильз и др. К июлю 1917 завод на 2/3 был готов,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но пущен в действие лишь в нач.1918, на исходе войны.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Вместе с тем на ряде предприятий перерабатывающей,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деревообрабатывающей, винокуренной, мукомольной, асфальтовой,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круподирной, картофелеперерабатывающей, паточной,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писчебумажной промышленности, строительных материалов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произошло сокращение или полное сворачивание производства.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Причинами этого явилось падение спроса, железнодорожные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трудности, отсутствие кредитов, неразбериха в поставках товаров,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призыв владельцев на военную службу.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Война нанесла удар и по сельскому хозяйству. В связи с оттоком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основной части трудоспособного мужского населения на фронт и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неблагоприятными в погодном отношении 1915—1916 годами в части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уездов было сорвано проведение неотложных сельскохозяйственных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работ, что вело к гибели урожая.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lastRenderedPageBreak/>
        <w:t>Для пополнения трудовых ресурсов была предпринята попытка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использовать труд военнопленных. Так, в 1916 на полях и в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промышленных заведениях губ. трудились 2.571 чел., но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производительность труда пленных была крайне низкой, и в 1917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число работающих на предприятиях пленных сократилось на 35—60%.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С начала наступления германской армии на фронтах в тыловые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губернии России, в т.ч. и в Симб. губ. хлынул поток беженцев. Так, на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31.10.1915 в губернии их было уже 33610 чел., и число их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продолжало расти, в дальнейшем эта цифра стабилизировалась на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уровне около 40000 до конца войны. Среди беженцев было много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нетрудоспособных (до 58%), часть беженцев не хотела работать из-за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более низкой оплаты их труда по сравнению с местным населением.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В результате массовых закупок скота и неоднократных его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реквизиций был нанесен заметный ущерб  скотоводству Симб. губ.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Согласно переписи 1910—1911 в губернии было 318 тыс. голов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крупного рогатого скота. Только в 1916 Симбирской губернией было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поставлено для нужд армии 21803 головы крупного рогатого скота,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21212 овец, 630 свиней и др.; на 1917 предполагалось пустить на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внутреннее потребление губернии 49900 голов, а 18831 поставить в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армию. Также из общего на 1916 по уездам количества в 245.828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лошадей ежегодно в армию только по обязательным поставкам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уходило по 3—3,5 тыс., не считая добровольной сдачи и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государственных закупок.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lastRenderedPageBreak/>
        <w:t>В губернии запретили к вывозу живой мясной скот, мясо, сахар,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зерновые. На почве отсутствия сахара в Симбирске в июле 1916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прошли уличные беспорядки, которые пришлось усмирять силой; с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начала войны по март 1917 цены на основные предметы первой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необходимости поднялись в среднем на 400—500%.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Но ситуация в целом не была столь тяжелой: осенью 1916 в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Симбирске  все предметы первой необходимости имелись, в остром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дефиците были лишь дрова и сахар. Рост цен к осени 1916 до 300% от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предвоенных не так уж был страшен, поскольку зарплату почти всем,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кроме служилого люда, подняли на те же 250—300%, страдали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по-настоящему лишь городские чиновники; крестьяне же выиграли за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счет дороговизны продуктов, а отношение сельского населения к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городскому тогда было как 80 к 20.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За годы войны экономическое положение губернии в целом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ухудшилось,  упал жизненный уровень населения, имело место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недовольство населения меняющейся к худшему ситуацией. Но  ни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массовых потрясений, ни сопровождающей их оживленной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политической борьбы в губернии отмечено не было.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В годы войны в Симбирске размещались и были сформированы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следующие воинские части: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10-й пехотный Троицкий полк, прибыл 23 дек. 1917 (ст. стиля),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размещался в казармах 96-го пехотного запасного батальона;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44-й пехотный запасной полк;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lastRenderedPageBreak/>
        <w:t>142-й пехотный запасной полк, сформирован в Симбирске в 1914,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формирование продолжалось до 1918;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163-й  пехотный Ленкоранско-Нашебургский полк, с 1910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размещался в казармах военного инженерного ведомства (конец ул.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Мартыновой, ныне ул. Радищева), в окт. 1914 был отправлен на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фронт;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164-й пехотный Закатальский полк, размещался в казармах на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Канатной ул., в сент. 1914 был отправлен на фронт;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242-й пехотный запасной полк, находился в Симбирске в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1915—1917;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307-й пехотный запасной Спасский полк, в авг. 1914 был отправлен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на фронт;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308-й пехотный запасной Чебоксарский полк, в авг. 1914 был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отправлен на фронт;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71-й пехотный запасной батальон;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96-й пехотный запасной батальон, находился в Симбирске с 1914 по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1 мая 1916;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97-й пехотный запасной батальон, находился в Симбирске с 1914 по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1917;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103-й  пехотный запасной батальон;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132-й пехотный запасной батальон;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235-я Симбирская пешая дружина государственного ополчения;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236-я Симбирская пешая дружина государственного ополчения;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lastRenderedPageBreak/>
        <w:t>239-я Симбирская пешая дружина государственного ополчения,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размещалась в Уланских казармах;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240-я Симбирская пешая дружина государственного ополчения;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547-я Симбирская пешая дружина государственного ополчения;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552-я Симбирская пешая дружина государственного ополчения;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687-я Симбирская пешая дружина государственного ополчения,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сформирована летом 1915, зимой 1915—1916 находилась в Сызрани,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затем  до февр. 1917 снова в Симбирске, размещалась в домах на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Лосевой (ныне ул. Федерации);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721-я Симбирская пешая дружина государственного ополчения;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738-я Симбирская пешая дружина государственного ополчения;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1-й запасной кавалерийский полк, размещался в Симбирске в 1916;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5-й Уланский Литовский Его Величества короля Виктора Эммануила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полк, размещался в казармах на Канатной улице (участок ул. К.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Маркса от ул. Марата до старого кладбища);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95-й маршевый эскадрон 2-го лейб-уланского Курляндского полка.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Части главного интендантского управления: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1-е и 2-е Симбирские  отделения армейского конного запаса;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4-й и 29-й корпусные продовольственные транспорты 2-го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кавалерийского корпуса;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34-я и 46-я команды гуртовщиков;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71-й и 90-й обозные батальоны;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351-й и 352-й транспорты 71-го обозного батальона.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lastRenderedPageBreak/>
        <w:t>Только за период с окт. 1914 по апр. 1915 из губернии на фронт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было отправлено 22383 солдатских шинели из сукна симбирских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суконных фабрик, 90357 рукавиц, 153340 набрюшников, 114821 пара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сапог, 8749 полушубков.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В Сызрани размещались: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45-й запасной пехотный полк;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100-й запасной пехотный полк;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119-й запасной пехотный полк;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239-й запасной пехотный полк;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Управление 4-й запасной кавалерийской бригады;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1-й запасной кавалерийский полк;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В Карсуне размещался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158-й запасной пехотный полк.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В Сенгилее размещался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165-й запасной пехотный полк.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В Алатыре размещались: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160-й запасной пехотный полк;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2-й запасной мортирный артиллерийский дивизион;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Алатырское отделение конского запаса.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В каждом гарнизоне имелись конвойные команды, магазины,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военные склады и мастерские, эвакуационные пункты, комендатуры,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камеры военных следователей и другие мелкие учреждения. Всего в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Симб. губ. насчитывалось от 70 до 90 тыс. солдат и офицеров.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lastRenderedPageBreak/>
        <w:t>Свою политику в армии правительство России проводило через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офицерский корпус. Выходцы из дворян, почетных граждан и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духовенства накануне войны среди генералов составляли 96,53%,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среди старших офицеров — 86,87%, среди младших офицеров —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69,54%, среди врачей — 67,28% и среди военных чиновников —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36,93%.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Новобранцы, призванные в войска, жили в казармах, перенося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каторжные условия жизни и службы. В течение первых трех месяцев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их не выпускали из казармы, а потом увольняли чрезвычайно редко.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За совершение самовольной отлучки виновные подвергались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тюремному заключению на срок от 2,5 до 4 лет.  «Нижние чины» были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лишены всяких гражданских и политических прав. Им было строжайше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запрещено принимать участие в собраниях, митингах, демонстрациях,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читать газеты и книги без разрешения начальства, посещать театры,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парки, появляться на отдельных (господских) улицах и даже ездить в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трамваях.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В Симб. губ. были созданы эвакуационные пункты и госпитали.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Уполномоченным Всероссийского Красного Креста по Симб.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окружному эвакуационному пункту в 1914—1915 был В.Н. Поливанов.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Количество госпиталей в Симбирске в течение войны было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непостоянным, наиболее продолжительное время работали госпитали: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при губернской земской больнице (950 коек), при Уланских казармах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(400 коек), при Симб. отделении Крестьянского поземельного банка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lastRenderedPageBreak/>
        <w:t>(45 коек), при Симб. отделении общины сестер милосердия общества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Красного Креста (45 коек), при школе им. Н.В. Гоголя (100 коек), при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ремесленном училище им. М.В. Лебедева (60 коек), в доме Е.И.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Красниковой (70 коек),  в доме Н.С. Зеленкова (70 коек), в доме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Данилова на Хлебной ул. (ныне ул. Орлова), 46 коек, при свечном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заводе епархиального ведомства (45 коек),  при Чувашской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учительской школе (50 коек), при казенном винном складе (100 коек),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в доме Шишкина (65 коек), в доме Егорова (130 коек), при 7 мужском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училище (65 коек); 92-й сводный эвакуационный госпиталь – в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казармах Закатальского полка (228 коек), в клубе Коммерческого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собрания (172 койки), в здании Дворянского собрания (325 коек), в</w:t>
      </w:r>
    </w:p>
    <w:p w:rsidR="009D183C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Гончаровском доме (200 коек), в здании Общественного собрания</w:t>
      </w:r>
    </w:p>
    <w:p w:rsidR="00B20FCF" w:rsidRPr="009D183C" w:rsidRDefault="009D183C" w:rsidP="009D183C">
      <w:pPr>
        <w:pStyle w:val="1"/>
        <w:rPr>
          <w:rStyle w:val="a6"/>
        </w:rPr>
      </w:pPr>
      <w:r w:rsidRPr="009D183C">
        <w:rPr>
          <w:rStyle w:val="a6"/>
        </w:rPr>
        <w:t>(150 коек) и ряд других  небольших госпиталей на 7—30 коек.</w:t>
      </w:r>
    </w:p>
    <w:sectPr w:rsidR="00B20FCF" w:rsidRPr="009D183C" w:rsidSect="009D18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3C"/>
    <w:rsid w:val="006B0643"/>
    <w:rsid w:val="009B05D8"/>
    <w:rsid w:val="009D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1110A-0493-4FE3-A95F-5C6D90C4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8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8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18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Subtitle"/>
    <w:basedOn w:val="a"/>
    <w:next w:val="a"/>
    <w:link w:val="a5"/>
    <w:uiPriority w:val="11"/>
    <w:qFormat/>
    <w:rsid w:val="009D183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9D183C"/>
    <w:rPr>
      <w:rFonts w:eastAsiaTheme="minorEastAsia"/>
      <w:color w:val="5A5A5A" w:themeColor="text1" w:themeTint="A5"/>
      <w:spacing w:val="15"/>
    </w:rPr>
  </w:style>
  <w:style w:type="character" w:styleId="a6">
    <w:name w:val="Subtle Emphasis"/>
    <w:basedOn w:val="a0"/>
    <w:uiPriority w:val="19"/>
    <w:qFormat/>
    <w:rsid w:val="009D183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2023-06-08T05:19:00Z</dcterms:created>
  <dcterms:modified xsi:type="dcterms:W3CDTF">2023-06-08T05:20:00Z</dcterms:modified>
</cp:coreProperties>
</file>