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01" w:rsidRPr="00261A01" w:rsidRDefault="00261A01" w:rsidP="00261A01">
      <w:pPr>
        <w:shd w:val="clear" w:color="auto" w:fill="FFFFFF"/>
        <w:spacing w:after="0" w:line="240" w:lineRule="auto"/>
        <w:jc w:val="center"/>
        <w:rPr>
          <w:rFonts w:ascii="Arial" w:hAnsi="Arial" w:cs="Arial"/>
          <w:b/>
          <w:sz w:val="28"/>
          <w:szCs w:val="28"/>
        </w:rPr>
      </w:pPr>
      <w:r w:rsidRPr="00261A01">
        <w:rPr>
          <w:rFonts w:ascii="Arial" w:hAnsi="Arial" w:cs="Arial"/>
          <w:b/>
          <w:sz w:val="28"/>
          <w:szCs w:val="28"/>
        </w:rPr>
        <w:t>Формирование функциональной грамотности младших школьников</w:t>
      </w:r>
    </w:p>
    <w:p w:rsidR="00261A01" w:rsidRPr="00261A01" w:rsidRDefault="00261A01" w:rsidP="00261A01">
      <w:pPr>
        <w:shd w:val="clear" w:color="auto" w:fill="FFFFFF"/>
        <w:spacing w:after="0" w:line="240" w:lineRule="auto"/>
        <w:jc w:val="both"/>
        <w:rPr>
          <w:rFonts w:ascii="Arial" w:hAnsi="Arial" w:cs="Arial"/>
          <w:sz w:val="28"/>
          <w:szCs w:val="28"/>
        </w:rPr>
      </w:pPr>
      <w:r w:rsidRPr="00261A01">
        <w:rPr>
          <w:rFonts w:ascii="Arial" w:hAnsi="Arial" w:cs="Arial"/>
          <w:sz w:val="28"/>
          <w:szCs w:val="28"/>
        </w:rPr>
        <w:t>Понятие «функциональная грамотность» впервые появилось в конце 60-х годов прошлого века в документах ЮНЕСКО и позднее вошло в обиход исследователей.</w:t>
      </w:r>
    </w:p>
    <w:p w:rsidR="00261A01" w:rsidRPr="00261A01" w:rsidRDefault="00261A01" w:rsidP="00261A01">
      <w:pPr>
        <w:shd w:val="clear" w:color="auto" w:fill="FFFFFF"/>
        <w:spacing w:after="0" w:line="240" w:lineRule="auto"/>
        <w:jc w:val="both"/>
        <w:rPr>
          <w:rFonts w:ascii="Arial" w:hAnsi="Arial" w:cs="Arial"/>
          <w:sz w:val="28"/>
          <w:szCs w:val="28"/>
        </w:rPr>
      </w:pPr>
      <w:r w:rsidRPr="00261A01">
        <w:rPr>
          <w:rFonts w:ascii="Arial" w:hAnsi="Arial" w:cs="Arial"/>
          <w:sz w:val="28"/>
          <w:szCs w:val="28"/>
        </w:rPr>
        <w:tab/>
        <w:t>Понималась функциональная грамотность как «совокупность умений читать и писать для использования в повседневной жизни и удовлетворения житейских проблем».</w:t>
      </w:r>
    </w:p>
    <w:p w:rsidR="00261A01" w:rsidRPr="00261A01" w:rsidRDefault="00261A01" w:rsidP="00261A01">
      <w:pPr>
        <w:shd w:val="clear" w:color="auto" w:fill="FFFFFF"/>
        <w:spacing w:after="0" w:line="240" w:lineRule="auto"/>
        <w:ind w:left="360" w:firstLine="348"/>
        <w:jc w:val="both"/>
        <w:rPr>
          <w:rFonts w:ascii="Arial" w:hAnsi="Arial" w:cs="Arial"/>
          <w:sz w:val="28"/>
          <w:szCs w:val="28"/>
        </w:rPr>
      </w:pPr>
      <w:r w:rsidRPr="00261A01">
        <w:rPr>
          <w:rFonts w:ascii="Arial" w:hAnsi="Arial" w:cs="Arial"/>
          <w:bCs/>
          <w:sz w:val="28"/>
          <w:szCs w:val="28"/>
        </w:rPr>
        <w:t>Сегодня что такое «функциональная грамотность»?</w:t>
      </w:r>
    </w:p>
    <w:p w:rsidR="00261A01" w:rsidRPr="00261A01" w:rsidRDefault="00261A01" w:rsidP="00261A01">
      <w:pPr>
        <w:shd w:val="clear" w:color="auto" w:fill="FFFFFF"/>
        <w:spacing w:after="0" w:line="240" w:lineRule="auto"/>
        <w:ind w:firstLine="708"/>
        <w:jc w:val="both"/>
        <w:rPr>
          <w:rFonts w:ascii="Arial" w:hAnsi="Arial" w:cs="Arial"/>
          <w:sz w:val="28"/>
          <w:szCs w:val="28"/>
        </w:rPr>
      </w:pPr>
      <w:r w:rsidRPr="00261A01">
        <w:rPr>
          <w:rFonts w:ascii="Arial" w:hAnsi="Arial" w:cs="Arial"/>
          <w:bCs/>
          <w:sz w:val="28"/>
          <w:szCs w:val="28"/>
        </w:rPr>
        <w:t>Функциональная грамотность</w:t>
      </w:r>
      <w:r w:rsidRPr="00261A01">
        <w:rPr>
          <w:rFonts w:ascii="Arial" w:hAnsi="Arial" w:cs="Arial"/>
          <w:sz w:val="28"/>
          <w:szCs w:val="28"/>
        </w:rPr>
        <w:t xml:space="preserve"> – способность человека вступать в отношения с внешней средой, быстро адаптироваться и функционировать в ней.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 Функциональная грамотность рассматривается, как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261A01" w:rsidRPr="00261A01" w:rsidRDefault="00261A01" w:rsidP="00261A01">
      <w:pPr>
        <w:shd w:val="clear" w:color="auto" w:fill="FFFFFF"/>
        <w:spacing w:after="0" w:line="240" w:lineRule="auto"/>
        <w:ind w:firstLine="708"/>
        <w:jc w:val="both"/>
        <w:rPr>
          <w:rFonts w:ascii="Arial" w:hAnsi="Arial" w:cs="Arial"/>
          <w:sz w:val="28"/>
          <w:szCs w:val="28"/>
        </w:rPr>
      </w:pPr>
      <w:r w:rsidRPr="00261A01">
        <w:rPr>
          <w:rFonts w:ascii="Arial" w:hAnsi="Arial" w:cs="Arial"/>
          <w:sz w:val="28"/>
          <w:szCs w:val="28"/>
          <w:shd w:val="clear" w:color="auto" w:fill="FFFFFF"/>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r w:rsidRPr="00261A01">
        <w:rPr>
          <w:rFonts w:ascii="Arial" w:hAnsi="Arial" w:cs="Arial"/>
          <w:sz w:val="28"/>
          <w:szCs w:val="28"/>
        </w:rPr>
        <w:t xml:space="preserve"> </w:t>
      </w:r>
    </w:p>
    <w:p w:rsidR="00261A01" w:rsidRPr="00261A01" w:rsidRDefault="00261A01" w:rsidP="00261A01">
      <w:pPr>
        <w:shd w:val="clear" w:color="auto" w:fill="FFFFFF"/>
        <w:spacing w:after="0" w:line="240" w:lineRule="auto"/>
        <w:jc w:val="both"/>
        <w:rPr>
          <w:rFonts w:ascii="Arial" w:hAnsi="Arial" w:cs="Arial"/>
          <w:sz w:val="28"/>
          <w:szCs w:val="28"/>
        </w:rPr>
      </w:pPr>
      <w:r w:rsidRPr="00261A01">
        <w:rPr>
          <w:rFonts w:ascii="Arial" w:hAnsi="Arial" w:cs="Arial"/>
          <w:sz w:val="28"/>
          <w:szCs w:val="28"/>
        </w:rPr>
        <w:t> </w:t>
      </w:r>
      <w:r w:rsidRPr="00261A01">
        <w:rPr>
          <w:rFonts w:ascii="Arial" w:hAnsi="Arial" w:cs="Arial"/>
          <w:bCs/>
          <w:sz w:val="28"/>
          <w:szCs w:val="28"/>
        </w:rPr>
        <w:t>Функциональная грамотность рассматривается как совокупность двух групп компонентов: интегративных и предметных.</w:t>
      </w:r>
    </w:p>
    <w:p w:rsidR="00261A01" w:rsidRPr="00261A01" w:rsidRDefault="00261A01" w:rsidP="00261A01">
      <w:pPr>
        <w:shd w:val="clear" w:color="auto" w:fill="FFFFFF"/>
        <w:spacing w:after="0" w:line="240" w:lineRule="auto"/>
        <w:ind w:firstLine="708"/>
        <w:jc w:val="both"/>
        <w:rPr>
          <w:rFonts w:ascii="Arial" w:hAnsi="Arial" w:cs="Arial"/>
          <w:sz w:val="28"/>
          <w:szCs w:val="28"/>
        </w:rPr>
      </w:pPr>
      <w:r w:rsidRPr="00261A01">
        <w:rPr>
          <w:rFonts w:ascii="Arial" w:hAnsi="Arial" w:cs="Arial"/>
          <w:sz w:val="28"/>
          <w:szCs w:val="28"/>
        </w:rPr>
        <w:t>Предметные (</w:t>
      </w:r>
      <w:proofErr w:type="gramStart"/>
      <w:r w:rsidRPr="00261A01">
        <w:rPr>
          <w:rFonts w:ascii="Arial" w:hAnsi="Arial" w:cs="Arial"/>
          <w:sz w:val="28"/>
          <w:szCs w:val="28"/>
        </w:rPr>
        <w:t>языковая</w:t>
      </w:r>
      <w:proofErr w:type="gramEnd"/>
      <w:r w:rsidRPr="00261A01">
        <w:rPr>
          <w:rFonts w:ascii="Arial" w:hAnsi="Arial" w:cs="Arial"/>
          <w:sz w:val="28"/>
          <w:szCs w:val="28"/>
        </w:rPr>
        <w:t xml:space="preserve">, литературная, математическая, </w:t>
      </w:r>
      <w:proofErr w:type="spellStart"/>
      <w:r w:rsidRPr="00261A01">
        <w:rPr>
          <w:rFonts w:ascii="Arial" w:hAnsi="Arial" w:cs="Arial"/>
          <w:sz w:val="28"/>
          <w:szCs w:val="28"/>
        </w:rPr>
        <w:t>естественно-научная</w:t>
      </w:r>
      <w:proofErr w:type="spellEnd"/>
      <w:r w:rsidRPr="00261A01">
        <w:rPr>
          <w:rFonts w:ascii="Arial" w:hAnsi="Arial" w:cs="Arial"/>
          <w:sz w:val="28"/>
          <w:szCs w:val="28"/>
        </w:rPr>
        <w:t>) соответствуют предметам учебного плана начальной школы.</w:t>
      </w:r>
    </w:p>
    <w:p w:rsidR="00261A01" w:rsidRPr="00261A01" w:rsidRDefault="00261A01" w:rsidP="00261A01">
      <w:pPr>
        <w:shd w:val="clear" w:color="auto" w:fill="FFFFFF"/>
        <w:spacing w:after="0" w:line="240" w:lineRule="auto"/>
        <w:jc w:val="both"/>
        <w:rPr>
          <w:rFonts w:ascii="Arial" w:hAnsi="Arial" w:cs="Arial"/>
          <w:sz w:val="28"/>
          <w:szCs w:val="28"/>
        </w:rPr>
      </w:pPr>
      <w:r w:rsidRPr="00261A01">
        <w:rPr>
          <w:rFonts w:ascii="Arial" w:hAnsi="Arial" w:cs="Arial"/>
          <w:sz w:val="28"/>
          <w:szCs w:val="28"/>
        </w:rPr>
        <w:t xml:space="preserve"> </w:t>
      </w:r>
      <w:r w:rsidRPr="00261A01">
        <w:rPr>
          <w:rFonts w:ascii="Arial" w:hAnsi="Arial" w:cs="Arial"/>
          <w:sz w:val="28"/>
          <w:szCs w:val="28"/>
        </w:rPr>
        <w:tab/>
        <w:t xml:space="preserve"> К </w:t>
      </w:r>
      <w:proofErr w:type="gramStart"/>
      <w:r w:rsidRPr="00261A01">
        <w:rPr>
          <w:rFonts w:ascii="Arial" w:hAnsi="Arial" w:cs="Arial"/>
          <w:sz w:val="28"/>
          <w:szCs w:val="28"/>
        </w:rPr>
        <w:t>интегративным</w:t>
      </w:r>
      <w:proofErr w:type="gramEnd"/>
      <w:r w:rsidRPr="00261A01">
        <w:rPr>
          <w:rFonts w:ascii="Arial" w:hAnsi="Arial" w:cs="Arial"/>
          <w:sz w:val="28"/>
          <w:szCs w:val="28"/>
        </w:rPr>
        <w:t xml:space="preserve"> относятся коммуникативная, читательская, информационная, социальная грамотность, формирующиеся на любом предметном содержании.</w:t>
      </w:r>
    </w:p>
    <w:p w:rsidR="00261A01" w:rsidRDefault="00261A01" w:rsidP="00261A01">
      <w:pPr>
        <w:shd w:val="clear" w:color="auto" w:fill="FFFFFF"/>
        <w:spacing w:after="0" w:line="240" w:lineRule="auto"/>
        <w:jc w:val="both"/>
        <w:rPr>
          <w:rFonts w:ascii="Arial" w:hAnsi="Arial" w:cs="Arial"/>
          <w:sz w:val="28"/>
          <w:szCs w:val="28"/>
        </w:rPr>
      </w:pPr>
      <w:r>
        <w:rPr>
          <w:rFonts w:ascii="Arial" w:hAnsi="Arial" w:cs="Arial"/>
          <w:sz w:val="28"/>
          <w:szCs w:val="28"/>
        </w:rPr>
        <w:t xml:space="preserve">         </w:t>
      </w:r>
      <w:r w:rsidRPr="00261A01">
        <w:rPr>
          <w:rFonts w:ascii="Arial" w:hAnsi="Arial" w:cs="Arial"/>
          <w:sz w:val="28"/>
          <w:szCs w:val="28"/>
        </w:rPr>
        <w:t xml:space="preserve">Для того, чтобы у ребёнка сформировалась учебная деятельность, необходимо чтобы переход от игры к учебному познанию осуществлялся плавно, именно поэтому, особенно в первом классе начальной школы, учителем используется очень много различных игр, игровых приёмов на уроках для того чтобы активизировать детей, поддерживать их интерес, стимулировать процесс самостоятельной познавательной деятельности. Учебно-познавательная деятельность представляет собой овладение содержанием учебных предметов необходимыми способами или умениями и навыками, при помощи которых ученик получает образование. </w:t>
      </w:r>
    </w:p>
    <w:p w:rsidR="00261A01" w:rsidRPr="00261A01" w:rsidRDefault="00261A01" w:rsidP="00261A01">
      <w:pPr>
        <w:shd w:val="clear" w:color="auto" w:fill="FFFFFF"/>
        <w:spacing w:after="0" w:line="240" w:lineRule="auto"/>
        <w:jc w:val="both"/>
        <w:rPr>
          <w:rFonts w:ascii="Arial" w:hAnsi="Arial" w:cs="Arial"/>
          <w:b/>
          <w:i/>
          <w:sz w:val="28"/>
          <w:szCs w:val="28"/>
        </w:rPr>
      </w:pPr>
      <w:r w:rsidRPr="00261A01">
        <w:rPr>
          <w:rFonts w:ascii="Arial" w:hAnsi="Arial" w:cs="Arial"/>
          <w:sz w:val="28"/>
          <w:szCs w:val="28"/>
        </w:rPr>
        <w:t xml:space="preserve">          В учебно-познавательной деятельности важной составляющей является наличие познавательной активности и познавательного интереса, который способствует тому, что ребёнок, прилагая </w:t>
      </w:r>
      <w:r w:rsidRPr="00261A01">
        <w:rPr>
          <w:rFonts w:ascii="Arial" w:hAnsi="Arial" w:cs="Arial"/>
          <w:sz w:val="28"/>
          <w:szCs w:val="28"/>
        </w:rPr>
        <w:lastRenderedPageBreak/>
        <w:t>определённые волевые усилия, преодолевая недостаточную устойчивость внимания, недостаточное развитие регуляторных функций, постепенно стремится к освоению разнообразных умений и навыков. Достижение единства и взаимосвязи учебно-познавательной и игровой деятельности является достаточно сложным процессом и не заключается только в том, чтобы использовать разные виды игр на уроках. В работах ряда исследователей указывается, что для того чтобы игра служила средством самопознания, важно не то, во что играть, а важно, как играть.</w:t>
      </w:r>
    </w:p>
    <w:p w:rsidR="00261A01" w:rsidRPr="00261A01" w:rsidRDefault="00261A01" w:rsidP="00261A01">
      <w:pPr>
        <w:pStyle w:val="a3"/>
        <w:spacing w:before="0" w:beforeAutospacing="0" w:after="0" w:afterAutospacing="0"/>
        <w:ind w:firstLine="709"/>
        <w:jc w:val="both"/>
        <w:rPr>
          <w:rFonts w:ascii="Arial" w:hAnsi="Arial" w:cs="Arial"/>
          <w:sz w:val="28"/>
          <w:szCs w:val="28"/>
        </w:rPr>
      </w:pPr>
      <w:r w:rsidRPr="00261A01">
        <w:rPr>
          <w:rFonts w:ascii="Arial" w:hAnsi="Arial" w:cs="Arial"/>
          <w:sz w:val="28"/>
          <w:szCs w:val="28"/>
        </w:rPr>
        <w:t xml:space="preserve">То есть содержание игры и её условия должны обеспечивать и стимуляцию познавательного интереса и познавательной активности, и способствовать формированию определённых умений и навыков. В условиях федеральных государственных образовательных стандартов начального общего образования плавный переход к учебно-познавательной деятельности и её развитие на основе игровой деятельности является одной из актуальных задач, поскольку это обеспечивает гармоничное развитие ребёнка. Если происходит значительное ограничение игровой деятельности, то формирование учебной деятельности усложняется, поскольку оно происходит путём учения и при этом самостоятельная активность ребёнка в деятельности ограничена. Для того, чтобы предупредить эти моменты, целесообразно уделять большое внимание игровой деятельности в процессе обучения младших школьников. Для этого большое значение имеет и знание учителем тех видов игр, которые актуальны для детей младшего школьного возраста и возможности их применения. В младшем школьном возрасте, как мы уже говорили выше, игра не утрачивает своё значение, но характер игровой деятельности значительно изменяется. Возрастает значение игры с достижением известного результата, сюда относятся спортивные игры, интеллектуальные игры. В младшем школьном возрасте изменяется соотношение между игровой и учебно-познавательной деятельностью, игра начинает подчиняться учебной деятельности. </w:t>
      </w:r>
    </w:p>
    <w:p w:rsidR="002C2285" w:rsidRPr="00261A01" w:rsidRDefault="002C2285">
      <w:pPr>
        <w:rPr>
          <w:rFonts w:ascii="Arial" w:hAnsi="Arial" w:cs="Arial"/>
          <w:sz w:val="28"/>
          <w:szCs w:val="28"/>
          <w:lang/>
        </w:rPr>
      </w:pPr>
    </w:p>
    <w:sectPr w:rsidR="002C2285" w:rsidRPr="00261A01" w:rsidSect="002C2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A01"/>
    <w:rsid w:val="00261A01"/>
    <w:rsid w:val="002C2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01"/>
    <w:rPr>
      <w:rFonts w:ascii="Times New Roman" w:eastAsia="Times New Roman" w:hAnsi="Times New Roman" w:cs="Times New Roman"/>
      <w:lang w:eastAsia="ru-RU"/>
    </w:rPr>
  </w:style>
  <w:style w:type="paragraph" w:styleId="2">
    <w:name w:val="heading 2"/>
    <w:basedOn w:val="a"/>
    <w:next w:val="a"/>
    <w:link w:val="20"/>
    <w:qFormat/>
    <w:rsid w:val="00261A0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1A01"/>
    <w:rPr>
      <w:rFonts w:ascii="Arial" w:eastAsia="Times New Roman" w:hAnsi="Arial" w:cs="Arial"/>
      <w:b/>
      <w:bCs/>
      <w:i/>
      <w:iCs/>
      <w:sz w:val="28"/>
      <w:szCs w:val="28"/>
      <w:lang w:eastAsia="ru-RU"/>
    </w:rPr>
  </w:style>
  <w:style w:type="paragraph" w:styleId="a3">
    <w:name w:val="Normal (Web)"/>
    <w:basedOn w:val="a"/>
    <w:link w:val="a4"/>
    <w:unhideWhenUsed/>
    <w:rsid w:val="00261A01"/>
    <w:pPr>
      <w:spacing w:before="100" w:beforeAutospacing="1" w:after="100" w:afterAutospacing="1" w:line="240" w:lineRule="auto"/>
    </w:pPr>
    <w:rPr>
      <w:sz w:val="24"/>
      <w:szCs w:val="24"/>
      <w:lang/>
    </w:rPr>
  </w:style>
  <w:style w:type="character" w:customStyle="1" w:styleId="a4">
    <w:name w:val="Обычный (веб) Знак"/>
    <w:link w:val="a3"/>
    <w:locked/>
    <w:rsid w:val="00261A0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Company>SPecialiST RePack</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2023-06-14T09:47:00Z</dcterms:created>
  <dcterms:modified xsi:type="dcterms:W3CDTF">2023-06-14T09:50:00Z</dcterms:modified>
</cp:coreProperties>
</file>