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Развитие мелкой моторики у детей с ОВЗ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Методическое пособие для педагогов 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4536" w:right="284" w:firstLine="0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«Ум ребёнка находится на кончиках его пальцев»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70" w:right="284" w:firstLine="0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                     В.А. Сухомлинский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Учёными доказано,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становление речи. Словесная речь ребёнка начинается, когда движения его пальчи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ков достигают достаточной точности. Особенно важно развивать двигательную активность пальцев рук с детьми с ограниченными возможностями здоровья, с таким заболеванием как ДЦП.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Двигательные нарушения, ограничивающие предметно – практическую деятельность и затрудняющие развитие самостоятельности передвижения, ставят ребёнка с ограниченными возможностями здоровья в полную зависимость от ближайшего окружения. В то же время отс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утствие единства зрительного, двигательного, тактильного образов затрудняет приобретение трудовых умений, навыков самообслуживания.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детей трудно формируется согласованность двигательной и чувственной сферы, так как недостаточно развит каждый орган чувств в отдельности. Всестороннее представление об окружающем предметном мире у человека не может сложиться без тактильно – двигательного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расположений в пространстве.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Нарушение координации движений ручной моторики у детей с интеллектуальными нарушениями проявляются в неспособности детей целенаправленно управлять свои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движениями.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детей с ДЦП отмечается: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  Нарушение координации движения глаз и рук.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Замедленное, недостаточное, недифференцированное зрительное восприятие, обусловленное невозможностью фиксации взора и прослеживание за предметами.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Нарушение координации движений, общая психомоторика, что приводит к патологии восприятия собственных ощущений и движений.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   Ребёнок недостаточно узнаёт предметы на ощупь.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Двигательные нарушения усиливают нарушения артикуляции моторики и звукопроизношения.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 Нарушается взаимодействие зрительно – моторных и оптико – пространственных систем, что затрудняет формирование автоматизированных движений руки.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  У ребёнка с трудом формируется «двигательный» образ буквы, слова.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Страдает осмысление сложных логико – грамматических конструкций в предложениях.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Отмечаются пространственные нарушения и пространственная дезорганизация (дети часто не могут довести начатое дело до конца) 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Трудности в воспроизведении движений по образцу.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Нарушается темп выполнения и воспроизведения.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Снижена двигательная память и замедленный, неуверенный темп при переносе двигательных поз пальцев с одной руки на другую.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Если движения пальцев рук отстаёт, то задерживается и речевое развитие.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Все перечисленные особенности у детей сочетаются с общей моторной недостаточностью. Причины недостаточного развития моторики различны и многообразны.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Прежде всего - это ослабленное здоровье и сниженные показатели общего физического развития, патология тонуса мышц, наличие насильственных движений. Чтобы развитие зрительного, тактильного, двигательного восприятия по возможности приближалось к норме, необх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одимо систематически проводить специальную коррекционную работу.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Развитие мелкой моторики и координация движений являются одними из важнейших аспектов развития детей дошкольного и младшего школьного возраста. Руки участвуют во всех рабочих движениях ребёнка.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Что такое мелкая моторика?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Мелкая моторика – это совокупность скоординированных действий мышечной, костной и нервной системы человека, зачастую в сочетании со зрительной системой в выполнении мелких, точных движений кистями и пальцами рук и ног. Часто понятие «мелкая моторика» испол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ьзуется такой термин как «ловкость».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Развитию мелкой моторики следует уделять специальное внимание.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Такое развитие положительно влияет на становление детской речи, повышает работоспособность ребёнка, внимательность, повышает активность, стимулирует интеллектуальную и творческую деятельность. Мелкая моторика – одна из сторон двигательной сферы. Простые дв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ижения рук помогают убрать напряжение не только с рук, но и с губ, снимает умственную усталость. Стимулируя мелкую моторику, мы активизируем различные зоны речи. В дальнейшем эти навыки ребёнку потребуются для использования движений (рисовать, писать, одев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аться и так далее). Процесс развития двигательной активности кисти рук происходит естественным, природным путём на базе развития общей моторики человека.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ладони и стопе находится около 1000 важнейших, биологических активных точек. Воздействуя на них, можно регулировать функционирование внутренних органов организма. Массируя мизинцы – можно активизировать работу сердца, безымянный – печень, указательный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желудок, большой – голова, средний – кишечник.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Начинать работу по развитию мелкой мускулатуры рук нужно с самого раннего возраста, такая кропотливая работа - дело не одного дня.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Благодаря тренировкам, движения становятся уверенными и выполняются детками активнее. Для лёгкости запоминания упражнения можно его придумать самому, давать те задания, которые понятны ребёнку. Поскольку развитие ручной умелости предполагает определённую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тепень зрелости мозговых структур, заставлять ребёнка заниматься «через силу» неэффективно.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Методические рекомендации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Основные принципы построения коррекционной работы с детьми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7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Изучение нарушенных и сохранных функций ребёнка.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7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Творческое использование дидактических принципов (систематичность, доступность, индивидуальность, наглядность, активность, постоянство).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7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Ежедневность (регулярность).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7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Соблюдение охранительного режима (смена позы ребёнка, мышечное расслабление, уменьшение насильственных движений).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7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Комфортный для ребёнка темп выполнения.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7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Взаимодействие со всеми специалистами.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Методика проведения работы по развитию мелкой моторики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8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Самомассаж (тыльная сторона кистей рук, ладони, пальцы).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8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Пальчиковая гимнастика.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8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Пальчиковые игры и упражнения с использованием различных предметов и материала.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20" w:right="284" w:firstLine="0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Организация работы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Длительность.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Соответствие возрасту и индивидуальным возможностям ребёнка.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Предметы и материалы должны быть гигиеничны, эстетичны, привлекательны.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Многократное повторение.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Задания должны усложняться постепенно «от простого к сложному».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Соблюдение мер безопасного использования предметов в процессе работы.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Использование художественного слова (потешки, стихи, прибаутки, загадки, скороговорки, чистоговорки) 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Ребёнку всегда предлагается инструкция.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Занятия должны быть только совместными (взрослый и ребёнок) 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9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Обязательно поощряйте детей.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Игрушки для развития мелкой моторики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Различные пирамидки, матрёшки. Помогают развивать мелкую моторику, логическое мышление, освоение новых форм и размеров, а также цветов. Развивает тактильную чувствительность.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Кубики. При помощи них можно конструировать башни, строить крепости и дома, собирать картинки. Способствуют развитию мелкой моторики и пространственного мышления, развитие внимания и логики.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Рамки и вкладыши.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Пазлы или рамки – вкладыши способствуют развитию моторики, самостоятельности, внимания, цветового восприятия, целостного восприятия предмета, логического и ассоциативного мышления ребёнка.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Фигурки на магнитах. Поверхность холодильника – это замечательное «поле действий» для маленького исследователя. Способствуют развитию мелкой моторики, координации движений и пространственного мышления. А фантазии малыша помогут раскрыться различные фигурки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виде разноцветных букв, цифр и геометрических фигур.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Кубы – сортёры. Дети учатся подбирать фигурки по форме и вставлять их в соответствующие отверстия. Развивается мелкая моторика, дети знакомятся с различными геометрическими фигурами и различными цветами.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0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Доски Сегена. Это деревянные доски с вкладышами, на которых изображены различные живые или неживые предметы. Способствуют развитию речи, логики, координации движений, мелкой моторики рук, а также пространственного восприятия малыша.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Средства развития мелкой моторики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Массаж кистей рук и пальцев. Массажёры.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Тренажёры для развития мелкой моторики.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Упражнения с мячиками, шариками.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Пальчиковая гимнастика.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Пальчиковые игры.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пластилином, тестом, глиной.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Рисование, раскрашивание.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Аппликация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бумагой.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конструктором, мозаикой.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пуговицами – пуговичный массаж.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крупами.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Шнуровки.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со счётными палочками, спичками.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песком и водой.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камушками, бусинками, макаронами, пробками.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резинками, лентами.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Штриховка.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Куклотерапия.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Пальчиковый театр.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Игры с прищепками.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1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Ниткография (ниткопись)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Массаж кистей рук и пальцев. Массажёры.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Можно выделить три комплекса упражнений самомассажа: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2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Самомассаж тыльной стороны.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2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Самомассаж ладони.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4"/>
        <w:numPr>
          <w:ilvl w:val="0"/>
          <w:numId w:val="12"/>
        </w:numPr>
        <w:ind w:right="284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Самомассаж пальцев рук.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Массаж не должен вызывать у ребёнка неприятные ощущения. Можно сказать ребёнку: «Мы немножко погреем руки». Используются приёмы: поглаживание, лёгкое растирание, вибрация. Движения выполняются в направлении от кончиков пальцев до запястья (3 – 5 мин., ежед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невно или через день 10 – 12 р).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Поглаживание – медленные и плавные движения в различных направлениях.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Растирание – применяется большая сила давления, рука как бы сдвигает кожу, но растирание не должно приносить ребёнку дискомфорт. Сгибание и разгибание пальцев левой руки ведёт к активизации правой и наоборот. Речевые области формируются под влиянием импуль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сов, поступающих от пальцев рук.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Поэтому кисть руки можно отнести к речевому аппарату, а двигательную проекционную часть руки считать ещё одной речевой областью мозга.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 вибрации – кончики полусогнутых пальцев наносят следующие один за другим удары (легко, массаж лучше выполнять одной рукой, другая в это время фиксирует ручку ребёнка).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Можно выполнять массаж со следующими материалами: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зубной щёткой,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массажной расчёской,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-с карандашом, фломастером,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пособие «мякиш»,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различные мячики, шарики,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568" w:right="284" w:firstLine="568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 грецким орехом.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284" w:firstLine="0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426" w:right="566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5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27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71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43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87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59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31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65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385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05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25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45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265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985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05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2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65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385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05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25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45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265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985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05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25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7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997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717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437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4157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877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597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317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7037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65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385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05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25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45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265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985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05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65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385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05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25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45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265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985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05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qFormat/>
    <w:uiPriority w:val="34"/>
    <w:pPr>
      <w:contextualSpacing w:val="true"/>
      <w:ind w:left="720"/>
    </w:p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uiPriority w:val="39"/>
    <w:unhideWhenUsed/>
    <w:pPr>
      <w:ind w:left="0" w:right="0" w:firstLine="0"/>
      <w:spacing w:after="57"/>
    </w:pPr>
  </w:style>
  <w:style w:type="paragraph" w:styleId="814">
    <w:name w:val="toc 2"/>
    <w:uiPriority w:val="39"/>
    <w:unhideWhenUsed/>
    <w:pPr>
      <w:ind w:left="283" w:right="0" w:firstLine="0"/>
      <w:spacing w:after="57"/>
    </w:pPr>
  </w:style>
  <w:style w:type="paragraph" w:styleId="815">
    <w:name w:val="toc 3"/>
    <w:uiPriority w:val="39"/>
    <w:unhideWhenUsed/>
    <w:pPr>
      <w:ind w:left="567" w:right="0" w:firstLine="0"/>
      <w:spacing w:after="57"/>
    </w:pPr>
  </w:style>
  <w:style w:type="paragraph" w:styleId="816">
    <w:name w:val="toc 4"/>
    <w:uiPriority w:val="39"/>
    <w:unhideWhenUsed/>
    <w:pPr>
      <w:ind w:left="850" w:right="0" w:firstLine="0"/>
      <w:spacing w:after="57"/>
    </w:pPr>
  </w:style>
  <w:style w:type="paragraph" w:styleId="817">
    <w:name w:val="toc 5"/>
    <w:uiPriority w:val="39"/>
    <w:unhideWhenUsed/>
    <w:pPr>
      <w:ind w:left="1134" w:right="0" w:firstLine="0"/>
      <w:spacing w:after="57"/>
    </w:pPr>
  </w:style>
  <w:style w:type="paragraph" w:styleId="818">
    <w:name w:val="toc 6"/>
    <w:uiPriority w:val="39"/>
    <w:unhideWhenUsed/>
    <w:pPr>
      <w:ind w:left="1417" w:right="0" w:firstLine="0"/>
      <w:spacing w:after="57"/>
    </w:pPr>
  </w:style>
  <w:style w:type="paragraph" w:styleId="819">
    <w:name w:val="toc 7"/>
    <w:uiPriority w:val="39"/>
    <w:unhideWhenUsed/>
    <w:pPr>
      <w:ind w:left="1701" w:right="0" w:firstLine="0"/>
      <w:spacing w:after="57"/>
    </w:pPr>
  </w:style>
  <w:style w:type="paragraph" w:styleId="820">
    <w:name w:val="toc 8"/>
    <w:uiPriority w:val="39"/>
    <w:unhideWhenUsed/>
    <w:pPr>
      <w:ind w:left="1984" w:right="0" w:firstLine="0"/>
      <w:spacing w:after="57"/>
    </w:pPr>
  </w:style>
  <w:style w:type="paragraph" w:styleId="821">
    <w:name w:val="toc 9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uiPriority w:val="99"/>
    <w:unhideWhenUsed/>
    <w:pPr>
      <w:spacing w:after="0" w:afterAutospacing="0"/>
    </w:pPr>
  </w:style>
  <w:style w:type="paragraph" w:styleId="824">
    <w:name w:val="Обычный"/>
    <w:next w:val="824"/>
    <w:link w:val="824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25">
    <w:name w:val="Основной шрифт абзаца"/>
    <w:next w:val="825"/>
    <w:link w:val="824"/>
    <w:semiHidden/>
  </w:style>
  <w:style w:type="table" w:styleId="826">
    <w:name w:val="Обычная таблица"/>
    <w:next w:val="826"/>
    <w:link w:val="824"/>
    <w:semiHidden/>
    <w:tblPr/>
  </w:style>
  <w:style w:type="numbering" w:styleId="827">
    <w:name w:val="Нет списка"/>
    <w:next w:val="827"/>
    <w:link w:val="824"/>
    <w:semiHidden/>
  </w:style>
  <w:style w:type="paragraph" w:styleId="828">
    <w:name w:val="Обычный (веб)"/>
    <w:basedOn w:val="824"/>
    <w:next w:val="828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9">
    <w:name w:val="Верхний колонтитул"/>
    <w:basedOn w:val="824"/>
    <w:next w:val="829"/>
    <w:link w:val="830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0">
    <w:name w:val="Верхний колонтитул Знак"/>
    <w:basedOn w:val="825"/>
    <w:next w:val="830"/>
    <w:link w:val="829"/>
  </w:style>
  <w:style w:type="paragraph" w:styleId="831">
    <w:name w:val="Нижний колонтитул"/>
    <w:basedOn w:val="824"/>
    <w:next w:val="831"/>
    <w:link w:val="832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2">
    <w:name w:val="Нижний колонтитул Знак"/>
    <w:basedOn w:val="825"/>
    <w:next w:val="832"/>
    <w:link w:val="831"/>
  </w:style>
  <w:style w:type="paragraph" w:styleId="833">
    <w:name w:val="c7"/>
    <w:basedOn w:val="824"/>
    <w:next w:val="833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4">
    <w:name w:val="c4"/>
    <w:basedOn w:val="825"/>
    <w:next w:val="834"/>
    <w:link w:val="824"/>
  </w:style>
  <w:style w:type="paragraph" w:styleId="835">
    <w:name w:val="c6"/>
    <w:basedOn w:val="824"/>
    <w:next w:val="835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6">
    <w:name w:val="c1"/>
    <w:basedOn w:val="825"/>
    <w:next w:val="836"/>
    <w:link w:val="824"/>
  </w:style>
  <w:style w:type="character" w:styleId="837">
    <w:name w:val="c5"/>
    <w:basedOn w:val="825"/>
    <w:next w:val="837"/>
    <w:link w:val="824"/>
  </w:style>
  <w:style w:type="paragraph" w:styleId="838">
    <w:name w:val="c11"/>
    <w:basedOn w:val="824"/>
    <w:next w:val="838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9">
    <w:name w:val="c266"/>
    <w:basedOn w:val="824"/>
    <w:next w:val="839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0">
    <w:name w:val="c14"/>
    <w:basedOn w:val="824"/>
    <w:next w:val="840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1">
    <w:name w:val="c22"/>
    <w:basedOn w:val="824"/>
    <w:next w:val="841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2">
    <w:name w:val="c273"/>
    <w:basedOn w:val="824"/>
    <w:next w:val="842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43">
    <w:name w:val="hgkelc"/>
    <w:basedOn w:val="825"/>
    <w:next w:val="843"/>
    <w:link w:val="824"/>
  </w:style>
  <w:style w:type="character" w:styleId="844">
    <w:name w:val="Строгий"/>
    <w:basedOn w:val="825"/>
    <w:next w:val="844"/>
    <w:link w:val="824"/>
    <w:rPr>
      <w:b/>
      <w:bCs/>
    </w:rPr>
  </w:style>
  <w:style w:type="table" w:styleId="845">
    <w:name w:val="Сетка таблицы"/>
    <w:basedOn w:val="826"/>
    <w:next w:val="845"/>
    <w:link w:val="824"/>
    <w:tblPr/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paragraph" w:styleId="848" w:default="1">
    <w:name w:val="Normal"/>
    <w:qFormat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2023-03-29T07:56:21Z</dcterms:modified>
</cp:coreProperties>
</file>