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tabs>
          <w:tab w:val="left" w:pos="8601" w:leader="none"/>
        </w:tabs>
        <w:rPr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     Развитие социальной уверенности у детей с ОВЗ</w:t>
      </w:r>
      <w:r>
        <w:rPr>
          <w:sz w:val="28"/>
        </w:rPr>
        <w:tab/>
      </w:r>
      <w:r>
        <w:rPr>
          <w:sz w:val="28"/>
        </w:rPr>
      </w:r>
    </w:p>
    <w:p>
      <w:pPr>
        <w:ind w:left="0" w:right="0" w:firstLine="0"/>
        <w:jc w:val="center"/>
        <w:spacing w:after="0" w:before="0"/>
        <w:shd w:val="clear" w:color="FFFFFF"/>
        <w:tabs>
          <w:tab w:val="left" w:pos="8601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Развитие социальной уверенности у младших школьников  с ОВЗ представляется сегодня во время стрессов, депрессий одной из самых актуальных задач, так как в этом возрасте формируется фундамент не только физического, но и психического здоровья. От того, как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ебенок этого возраста пройдет социализацию, зависит вся его взрослая жизнь.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Понятие социальная уверенность включает в себя такие понятия  как доверие к себе, вера в себя, самоутверждение, социальные навыки, способность к творчеству. Социальная уверенность обеспечивает ребенку адекватное отношение к позитивным и негативным ситуа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циям, адекватное восприятие собственных успехов и неудач. Социальная уверенность – это осознанный способ гармоничного взаимодействия с самим собой, с людьми, окружающим миром.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Дошкольный возраст и младший школьный возраст – это время активного познания окружающего мира, человеческих отношений, осознания себя, своего «Я» в системе социального мира, развития познавательных способностей. На этом этапе формируется личность ребенка. Именно в этот период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происходит овладение речью, осваиваются особые формы поведения, появляется способность к продуктивным видам деятельности, формируется мышление. Ребенок с задержкой в развитии на этом этапе остро нуждается в помощи педагогов. Дети с отклонениями в развитии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имеют низкий уровень самосознания и произвольного поведения, нарушения в эмоциональной сфере.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 Чувство собственной значимости является очень важным для ребенка.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Социально неуверенные дети склонны чуть ли не в каждом деле находить препятствие, реагируя на них неадекватным поведением.  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Социально неуверенные дети – это дети, не умеющие гармонично взаимодействовать сами с собой, с социумом, с внешним миром. Чаще всего в педагогической и психологической литературе социальная неуверенность на уровне внешних поведенческих проявлений описывает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ся как некоммуникабельность, застенчивость, тихость,  аутичность, то есть как гипоактивность.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Основные признаки, характеризующие социальную неуверенность ребенка.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вербальном уровне: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речь очень тихая,  невнятная, с длинными паузами, или, наоборот, громкая, сбивчивая, быстрая;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рассказывают очень мало или вообще ничего;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зачастую не могут выразить словами свое эмоциональное состояние;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вызывает затруднение просьба назвать себя по имени, назвать себя ласково.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невербальном уровне: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пониженная моторная активность, сидят тихо, стараются не привлекать внимание;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часто плаксивы и апатичны;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мимика лица или вялая, или выражает противоречивые эмоции, часто смущенная улыбка;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 могут устанавливать контакты взглядом, не смотрят на партнеров, отводят глаза.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уровне социальных контактов: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неприсоединение к группе играющих детей;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нежелание расставаться с родителями или другими близкими взрослыми;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неумение самоутверждаться – выдвинуть конкретные требования к окружающим, при необходимости сказать «нет».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Социально неуверенное поведение связанно с заниженной самооценкой, ожиданием неудач, повышенной зависимостью от оценки социума.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В качестве некоторых основных причин социальной неуверенности у детей можно выделить следующее: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неблагополучная семейная обстановка;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экономическое неблагополучие семьи;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низкий уровень эмоционально – волевой сферы;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 повышенное внимание ребенку;</w:t>
      </w:r>
      <w:r>
        <w:rPr>
          <w:sz w:val="28"/>
        </w:rPr>
      </w:r>
    </w:p>
    <w:p>
      <w:pPr>
        <w:ind w:left="0" w:right="0" w:firstLine="0"/>
        <w:jc w:val="both"/>
        <w:spacing w:after="0" w:before="0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негативное или излишне строгое, требовательное отношение взрослого к ребенку.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   Для социализации дошкольника и младшего 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людей, детей, природы, общественной жизни. Игра воссоздает межличностные отн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ошения между людьми, роль человека в социуме.  Игра - универсальное средство профилактики и компенсации психоэмоциональных проблем неуверенного ребенка.  Наиболее эффективными  являются следующие виды игр: игры - подражания, имитации, перевопл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ощения, инсценировки, этюды, сюжетные, ролевые, подвижные, игры с правилами. В особых игровых условиях дети моделируют отношения в наглядно – действенной форме, начинают лучше в них ориентироваться. В игре формируются реальные отношения сотрудничества межд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ребенком и его сверстниками: ребенок приобретает позитивный опыт совместных действий. Играя, ребенок поэтапно осваивает новые способы поведения  в проблемных ситуациях, усваивает их. Позитивный процесс изменения ребенка в игре не происходит автоматически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Он возможен, если взрослый эмоционально сопереживает ребенку, выражает искреннею веру в  его возможности, создает атмосферу взаимопонимания, любви.  </w:t>
      </w:r>
      <w:r>
        <w:rPr>
          <w:sz w:val="28"/>
        </w:rPr>
      </w:r>
    </w:p>
    <w:p>
      <w:pPr>
        <w:pStyle w:val="824"/>
        <w:jc w:val="both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426" w:right="566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1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uiPriority w:val="39"/>
    <w:unhideWhenUsed/>
    <w:pPr>
      <w:ind w:left="0" w:right="0" w:firstLine="0"/>
      <w:spacing w:after="57"/>
    </w:pPr>
  </w:style>
  <w:style w:type="paragraph" w:styleId="814">
    <w:name w:val="toc 2"/>
    <w:uiPriority w:val="39"/>
    <w:unhideWhenUsed/>
    <w:pPr>
      <w:ind w:left="283" w:right="0" w:firstLine="0"/>
      <w:spacing w:after="57"/>
    </w:pPr>
  </w:style>
  <w:style w:type="paragraph" w:styleId="815">
    <w:name w:val="toc 3"/>
    <w:uiPriority w:val="39"/>
    <w:unhideWhenUsed/>
    <w:pPr>
      <w:ind w:left="567" w:right="0" w:firstLine="0"/>
      <w:spacing w:after="57"/>
    </w:pPr>
  </w:style>
  <w:style w:type="paragraph" w:styleId="816">
    <w:name w:val="toc 4"/>
    <w:uiPriority w:val="39"/>
    <w:unhideWhenUsed/>
    <w:pPr>
      <w:ind w:left="850" w:right="0" w:firstLine="0"/>
      <w:spacing w:after="57"/>
    </w:pPr>
  </w:style>
  <w:style w:type="paragraph" w:styleId="817">
    <w:name w:val="toc 5"/>
    <w:uiPriority w:val="39"/>
    <w:unhideWhenUsed/>
    <w:pPr>
      <w:ind w:left="1134" w:right="0" w:firstLine="0"/>
      <w:spacing w:after="57"/>
    </w:pPr>
  </w:style>
  <w:style w:type="paragraph" w:styleId="818">
    <w:name w:val="toc 6"/>
    <w:uiPriority w:val="39"/>
    <w:unhideWhenUsed/>
    <w:pPr>
      <w:ind w:left="1417" w:right="0" w:firstLine="0"/>
      <w:spacing w:after="57"/>
    </w:pPr>
  </w:style>
  <w:style w:type="paragraph" w:styleId="819">
    <w:name w:val="toc 7"/>
    <w:uiPriority w:val="39"/>
    <w:unhideWhenUsed/>
    <w:pPr>
      <w:ind w:left="1701" w:right="0" w:firstLine="0"/>
      <w:spacing w:after="57"/>
    </w:pPr>
  </w:style>
  <w:style w:type="paragraph" w:styleId="820">
    <w:name w:val="toc 8"/>
    <w:uiPriority w:val="39"/>
    <w:unhideWhenUsed/>
    <w:pPr>
      <w:ind w:left="1984" w:right="0" w:firstLine="0"/>
      <w:spacing w:after="57"/>
    </w:pPr>
  </w:style>
  <w:style w:type="paragraph" w:styleId="821">
    <w:name w:val="toc 9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uiPriority w:val="99"/>
    <w:unhideWhenUsed/>
    <w:pPr>
      <w:spacing w:after="0" w:afterAutospacing="0"/>
    </w:pPr>
  </w:style>
  <w:style w:type="paragraph" w:styleId="824">
    <w:name w:val="Обычный"/>
    <w:next w:val="824"/>
    <w:link w:val="824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25">
    <w:name w:val="Основной шрифт абзаца"/>
    <w:next w:val="825"/>
    <w:link w:val="824"/>
    <w:semiHidden/>
  </w:style>
  <w:style w:type="table" w:styleId="826">
    <w:name w:val="Обычная таблица"/>
    <w:next w:val="826"/>
    <w:link w:val="824"/>
    <w:semiHidden/>
    <w:tblPr/>
  </w:style>
  <w:style w:type="numbering" w:styleId="827">
    <w:name w:val="Нет списка"/>
    <w:next w:val="827"/>
    <w:link w:val="824"/>
    <w:semiHidden/>
  </w:style>
  <w:style w:type="paragraph" w:styleId="828">
    <w:name w:val="Обычный (веб)"/>
    <w:basedOn w:val="824"/>
    <w:next w:val="828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>
    <w:name w:val="Верхний колонтитул"/>
    <w:basedOn w:val="824"/>
    <w:next w:val="829"/>
    <w:link w:val="830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0">
    <w:name w:val="Верхний колонтитул Знак"/>
    <w:basedOn w:val="825"/>
    <w:next w:val="830"/>
    <w:link w:val="829"/>
  </w:style>
  <w:style w:type="paragraph" w:styleId="831">
    <w:name w:val="Нижний колонтитул"/>
    <w:basedOn w:val="824"/>
    <w:next w:val="831"/>
    <w:link w:val="832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2">
    <w:name w:val="Нижний колонтитул Знак"/>
    <w:basedOn w:val="825"/>
    <w:next w:val="832"/>
    <w:link w:val="831"/>
  </w:style>
  <w:style w:type="paragraph" w:styleId="833">
    <w:name w:val="c7"/>
    <w:basedOn w:val="824"/>
    <w:next w:val="833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4">
    <w:name w:val="c4"/>
    <w:basedOn w:val="825"/>
    <w:next w:val="834"/>
    <w:link w:val="824"/>
  </w:style>
  <w:style w:type="paragraph" w:styleId="835">
    <w:name w:val="c6"/>
    <w:basedOn w:val="824"/>
    <w:next w:val="835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6">
    <w:name w:val="c1"/>
    <w:basedOn w:val="825"/>
    <w:next w:val="836"/>
    <w:link w:val="824"/>
  </w:style>
  <w:style w:type="character" w:styleId="837">
    <w:name w:val="c5"/>
    <w:basedOn w:val="825"/>
    <w:next w:val="837"/>
    <w:link w:val="824"/>
  </w:style>
  <w:style w:type="paragraph" w:styleId="838">
    <w:name w:val="c11"/>
    <w:basedOn w:val="824"/>
    <w:next w:val="838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9">
    <w:name w:val="c266"/>
    <w:basedOn w:val="824"/>
    <w:next w:val="839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0">
    <w:name w:val="c14"/>
    <w:basedOn w:val="824"/>
    <w:next w:val="840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1">
    <w:name w:val="c22"/>
    <w:basedOn w:val="824"/>
    <w:next w:val="841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2">
    <w:name w:val="c273"/>
    <w:basedOn w:val="824"/>
    <w:next w:val="842"/>
    <w:link w:val="8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43">
    <w:name w:val="hgkelc"/>
    <w:basedOn w:val="825"/>
    <w:next w:val="843"/>
    <w:link w:val="824"/>
  </w:style>
  <w:style w:type="character" w:styleId="844">
    <w:name w:val="Строгий"/>
    <w:basedOn w:val="825"/>
    <w:next w:val="844"/>
    <w:link w:val="824"/>
    <w:rPr>
      <w:b/>
      <w:bCs/>
    </w:rPr>
  </w:style>
  <w:style w:type="table" w:styleId="845">
    <w:name w:val="Сетка таблицы"/>
    <w:basedOn w:val="826"/>
    <w:next w:val="845"/>
    <w:link w:val="824"/>
    <w:tblPr/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paragraph" w:styleId="848" w:default="1">
    <w:name w:val="Normal"/>
    <w:qFormat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2023-03-29T06:50:09Z</dcterms:modified>
</cp:coreProperties>
</file>