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Концепция туристического IT-кластера включает в себя: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1. Взаимодействие туристических и IT компаний: Кластер объединяет различные туристические и IT компании для создания совместных программ и предоставления комплексных услуг.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2. Развитие туристических маршрутов: Кластер помогает оптимизировать и продвигать туристические маршруты, включая глэмпинги и кэмпинги, чтобы обеспечить насыщенный и уникальный опыт путешествий для IT специалистов.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3. Взаимодействие с IT-компаниями: Кластер сотрудничает с IT-компаниями для разработки инновационных решений в сфере туризма, таких как мобильные приложения, онлайн-платформы для бронирования и системы управления туристическими объектами.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4. Привлечение IT-специалистов: Кластер предоставляет возможности для развития и обучения IT-специалистов, а также способствует привлечению новых талантов в отрасль.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5. Поддержка глэмпингов и кэмпингов: Кластер способствует развитию и продвижению глэмпингов и кэмпингов, предоставляя им доступ к цифровым решениям для повышения качества обслуживания и удовлетворения потребностей современных путешественников.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@ITGB_bot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По вопросам сотрудничества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https://t.me/EXPRTI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