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A6D" w:rsidRDefault="009E6A6D" w:rsidP="009E6A6D">
      <w:pPr>
        <w:pStyle w:val="10"/>
        <w:shd w:val="clear" w:color="auto" w:fill="auto"/>
        <w:spacing w:after="542"/>
        <w:ind w:left="1180" w:right="580"/>
      </w:pPr>
      <w:bookmarkStart w:id="0" w:name="bookmark0"/>
      <w:r>
        <w:rPr>
          <w:color w:val="000000"/>
          <w:lang w:eastAsia="ru-RU" w:bidi="ru-RU"/>
        </w:rPr>
        <w:t>Опыт применения эффективных технологий и методов в инновационной деятельности преподавателя ОБЖ.</w:t>
      </w:r>
      <w:bookmarkEnd w:id="0"/>
    </w:p>
    <w:p w:rsidR="009E6A6D" w:rsidRDefault="009E6A6D" w:rsidP="009E6A6D">
      <w:pPr>
        <w:pStyle w:val="30"/>
        <w:shd w:val="clear" w:color="auto" w:fill="auto"/>
        <w:spacing w:before="0" w:after="476"/>
      </w:pPr>
      <w:r>
        <w:rPr>
          <w:color w:val="000000"/>
          <w:lang w:eastAsia="ru-RU" w:bidi="ru-RU"/>
        </w:rPr>
        <w:t>Рекомендации разработаны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в соответствии с Рекомендациями по организации получения среднего общего образования (письмо Департамента государственной политики в сфере подготовки рабочих кадров Минобрнауки от 17.03.2015 № 06-259).</w:t>
      </w:r>
    </w:p>
    <w:p w:rsidR="009E6A6D" w:rsidRDefault="009E6A6D" w:rsidP="009E6A6D">
      <w:pPr>
        <w:pStyle w:val="4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 xml:space="preserve">XXI век стал временем жесточайшей борьбы за будущее всей Планеты, когда целые государства, этносы, культуры будут нещадно, без сантиментов стираться </w:t>
      </w:r>
      <w:r w:rsidR="00FA6333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 xml:space="preserve">астиком Истории. В этой борьбе выживут и победят сплочённые социальные системы, спаянные единым ценностным кодом, характеризующиеся минимальной социальной поляризацией и имеющие в себе высокий процент носителей знания. Президент РФ В.В. Путин, МО </w:t>
      </w:r>
      <w:proofErr w:type="gramStart"/>
      <w:r>
        <w:rPr>
          <w:color w:val="000000"/>
          <w:lang w:eastAsia="ru-RU" w:bidi="ru-RU"/>
        </w:rPr>
        <w:t xml:space="preserve">РФ </w:t>
      </w:r>
      <w:r w:rsidR="00FA6333">
        <w:rPr>
          <w:color w:val="000000"/>
          <w:lang w:eastAsia="ru-RU" w:bidi="ru-RU"/>
        </w:rPr>
        <w:t xml:space="preserve"> генерал</w:t>
      </w:r>
      <w:proofErr w:type="gramEnd"/>
      <w:r w:rsidR="00FA6333">
        <w:rPr>
          <w:color w:val="000000"/>
          <w:lang w:eastAsia="ru-RU" w:bidi="ru-RU"/>
        </w:rPr>
        <w:t xml:space="preserve"> армии </w:t>
      </w:r>
      <w:r>
        <w:rPr>
          <w:color w:val="000000"/>
          <w:lang w:eastAsia="ru-RU" w:bidi="ru-RU"/>
        </w:rPr>
        <w:t>С.К. Шойгу в соответствии с этим основной акцент в государственной политике делают на военно-патриотическом воспитании молодежи.</w:t>
      </w:r>
    </w:p>
    <w:p w:rsidR="009E6A6D" w:rsidRPr="00FA6333" w:rsidRDefault="009E6A6D" w:rsidP="009E6A6D">
      <w:pPr>
        <w:pStyle w:val="4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Актуальна жизненно важная необходимость корректировки Рабоч</w:t>
      </w:r>
      <w:r w:rsidR="00FA6333">
        <w:rPr>
          <w:color w:val="000000"/>
          <w:lang w:eastAsia="ru-RU" w:bidi="ru-RU"/>
        </w:rPr>
        <w:t>ей</w:t>
      </w:r>
      <w:r>
        <w:rPr>
          <w:color w:val="000000"/>
          <w:lang w:eastAsia="ru-RU" w:bidi="ru-RU"/>
        </w:rPr>
        <w:t xml:space="preserve"> программ</w:t>
      </w:r>
      <w:r w:rsidR="00FA6333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общеобразовательной учебной дисциплины «Основы безопасности жизнедеятельности</w:t>
      </w:r>
      <w:r w:rsidR="00FA6333">
        <w:rPr>
          <w:color w:val="000000"/>
          <w:lang w:eastAsia="ru-RU" w:bidi="ru-RU"/>
        </w:rPr>
        <w:t>».</w:t>
      </w:r>
    </w:p>
    <w:p w:rsidR="009E6A6D" w:rsidRDefault="009E6A6D" w:rsidP="009E6A6D">
      <w:pPr>
        <w:pStyle w:val="40"/>
        <w:shd w:val="clear" w:color="auto" w:fill="auto"/>
        <w:spacing w:before="0"/>
        <w:ind w:firstLine="1320"/>
        <w:jc w:val="left"/>
      </w:pPr>
      <w:r>
        <w:rPr>
          <w:color w:val="000000"/>
          <w:lang w:eastAsia="ru-RU" w:bidi="ru-RU"/>
        </w:rPr>
        <w:t>Как известно, содержание программы «Основы безопасности жизнедеятельности» направлено на достижение следующих целей:</w:t>
      </w:r>
    </w:p>
    <w:p w:rsidR="009E6A6D" w:rsidRDefault="009E6A6D" w:rsidP="009E6A6D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jc w:val="left"/>
      </w:pPr>
      <w:r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государства от внешних и внутренних угроз;</w:t>
      </w:r>
    </w:p>
    <w:p w:rsidR="009E6A6D" w:rsidRDefault="009E6A6D" w:rsidP="009E6A6D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jc w:val="left"/>
      </w:pPr>
      <w:r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9E6A6D" w:rsidRPr="00FA6333" w:rsidRDefault="009E6A6D" w:rsidP="009E6A6D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 w:firstLine="0"/>
      </w:pPr>
      <w:r>
        <w:rPr>
          <w:color w:val="000000"/>
          <w:lang w:eastAsia="ru-RU" w:bidi="ru-RU"/>
        </w:rPr>
        <w:t>формирование антитеррористического поведения студентов</w:t>
      </w:r>
      <w:r w:rsidR="00FA6333">
        <w:rPr>
          <w:color w:val="000000"/>
          <w:lang w:eastAsia="ru-RU" w:bidi="ru-RU"/>
        </w:rPr>
        <w:t>;</w:t>
      </w:r>
    </w:p>
    <w:p w:rsidR="00FA6333" w:rsidRDefault="00FA6333" w:rsidP="009E6A6D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 w:firstLine="0"/>
      </w:pPr>
      <w:r>
        <w:t>развитие знаний, мышления, памяти;</w:t>
      </w:r>
    </w:p>
    <w:p w:rsidR="00FA6333" w:rsidRDefault="00FA6333" w:rsidP="009E6A6D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 w:firstLine="0"/>
      </w:pPr>
      <w:r>
        <w:lastRenderedPageBreak/>
        <w:t>развитие политической грамотности и культуры безопасности;</w:t>
      </w:r>
    </w:p>
    <w:p w:rsidR="00FA6333" w:rsidRPr="009E6A6D" w:rsidRDefault="00FA6333" w:rsidP="009E6A6D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 w:firstLine="0"/>
      </w:pPr>
      <w:r>
        <w:t>совершенствование всей структуры военно-патриотического воспитания студентов.</w:t>
      </w:r>
    </w:p>
    <w:p w:rsidR="009E6A6D" w:rsidRDefault="009E6A6D" w:rsidP="009E6A6D">
      <w:pPr>
        <w:pStyle w:val="40"/>
        <w:shd w:val="clear" w:color="auto" w:fill="auto"/>
        <w:spacing w:before="0" w:after="180"/>
        <w:ind w:firstLine="540"/>
        <w:jc w:val="left"/>
        <w:rPr>
          <w:color w:val="000000"/>
          <w:lang w:eastAsia="ru-RU" w:bidi="ru-RU"/>
        </w:rPr>
      </w:pPr>
    </w:p>
    <w:p w:rsidR="009E6A6D" w:rsidRDefault="009E6A6D" w:rsidP="009E6A6D">
      <w:pPr>
        <w:pStyle w:val="40"/>
        <w:shd w:val="clear" w:color="auto" w:fill="auto"/>
        <w:spacing w:before="0" w:after="180"/>
        <w:ind w:firstLine="540"/>
        <w:jc w:val="left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0" wp14:anchorId="11A43EBA" wp14:editId="650719F1">
            <wp:simplePos x="0" y="0"/>
            <wp:positionH relativeFrom="margin">
              <wp:align>right</wp:align>
            </wp:positionH>
            <wp:positionV relativeFrom="paragraph">
              <wp:posOffset>76909</wp:posOffset>
            </wp:positionV>
            <wp:extent cx="3459600" cy="3056400"/>
            <wp:effectExtent l="0" t="0" r="7620" b="0"/>
            <wp:wrapTight wrapText="left">
              <wp:wrapPolygon edited="0">
                <wp:start x="0" y="0"/>
                <wp:lineTo x="0" y="21407"/>
                <wp:lineTo x="21529" y="21407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30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Специфической</w:t>
      </w:r>
      <w:r>
        <w:rPr>
          <w:color w:val="000000"/>
          <w:lang w:eastAsia="ru-RU" w:bidi="ru-RU"/>
        </w:rPr>
        <w:br/>
        <w:t>особенностью учебной</w:t>
      </w:r>
      <w:r>
        <w:rPr>
          <w:color w:val="000000"/>
          <w:lang w:eastAsia="ru-RU" w:bidi="ru-RU"/>
        </w:rPr>
        <w:br/>
        <w:t>дисциплины «Основы</w:t>
      </w:r>
      <w:r>
        <w:rPr>
          <w:color w:val="000000"/>
          <w:lang w:eastAsia="ru-RU" w:bidi="ru-RU"/>
        </w:rPr>
        <w:br/>
        <w:t>безопасности</w:t>
      </w:r>
      <w:r>
        <w:rPr>
          <w:color w:val="000000"/>
          <w:lang w:eastAsia="ru-RU" w:bidi="ru-RU"/>
        </w:rPr>
        <w:br/>
        <w:t>жизнедеятельности»</w:t>
      </w:r>
      <w:r>
        <w:rPr>
          <w:color w:val="000000"/>
          <w:lang w:eastAsia="ru-RU" w:bidi="ru-RU"/>
        </w:rPr>
        <w:br/>
        <w:t>является то, что ее</w:t>
      </w:r>
      <w:r>
        <w:rPr>
          <w:color w:val="000000"/>
          <w:lang w:eastAsia="ru-RU" w:bidi="ru-RU"/>
        </w:rPr>
        <w:br/>
        <w:t>нельзя изучить</w:t>
      </w:r>
      <w:r>
        <w:rPr>
          <w:color w:val="000000"/>
          <w:lang w:eastAsia="ru-RU" w:bidi="ru-RU"/>
        </w:rPr>
        <w:br/>
        <w:t>методами частных наук</w:t>
      </w:r>
      <w:r>
        <w:rPr>
          <w:color w:val="000000"/>
          <w:lang w:eastAsia="ru-RU" w:bidi="ru-RU"/>
        </w:rPr>
        <w:br/>
        <w:t>или простым</w:t>
      </w:r>
      <w:r>
        <w:rPr>
          <w:color w:val="000000"/>
          <w:lang w:eastAsia="ru-RU" w:bidi="ru-RU"/>
        </w:rPr>
        <w:br/>
        <w:t>суммированием их</w:t>
      </w:r>
      <w:r>
        <w:rPr>
          <w:color w:val="000000"/>
          <w:lang w:eastAsia="ru-RU" w:bidi="ru-RU"/>
        </w:rPr>
        <w:br/>
        <w:t>методов.</w:t>
      </w:r>
      <w:r w:rsidRPr="009E6A6D">
        <w:rPr>
          <w:noProof/>
          <w:color w:val="000000"/>
          <w:lang w:eastAsia="ru-RU"/>
        </w:rPr>
        <w:t xml:space="preserve"> </w:t>
      </w:r>
    </w:p>
    <w:p w:rsidR="009E6A6D" w:rsidRDefault="009E6A6D" w:rsidP="009E6A6D">
      <w:pPr>
        <w:pStyle w:val="40"/>
        <w:shd w:val="clear" w:color="auto" w:fill="auto"/>
        <w:spacing w:before="0"/>
        <w:ind w:firstLine="540"/>
      </w:pPr>
      <w:r>
        <w:rPr>
          <w:color w:val="000000"/>
          <w:lang w:eastAsia="ru-RU" w:bidi="ru-RU"/>
        </w:rPr>
        <w:t>Ее проблематика охватывает многие, если не все, области человеческого знания и является результатом взаимодействия, целостного взаимосвязанного проявления разнообразных, но однородных по своей сути проблем.</w:t>
      </w:r>
    </w:p>
    <w:p w:rsidR="009E6A6D" w:rsidRDefault="009E6A6D" w:rsidP="009E6A6D">
      <w:pPr>
        <w:pStyle w:val="40"/>
        <w:shd w:val="clear" w:color="auto" w:fill="auto"/>
        <w:spacing w:before="0"/>
        <w:ind w:firstLine="540"/>
        <w:jc w:val="left"/>
      </w:pPr>
      <w:r>
        <w:rPr>
          <w:color w:val="000000"/>
          <w:lang w:eastAsia="ru-RU" w:bidi="ru-RU"/>
        </w:rPr>
        <w:t>• Предметных:</w:t>
      </w:r>
    </w:p>
    <w:p w:rsidR="009E6A6D" w:rsidRDefault="009E6A6D" w:rsidP="009E6A6D">
      <w:pPr>
        <w:pStyle w:val="20"/>
        <w:shd w:val="clear" w:color="auto" w:fill="auto"/>
        <w:tabs>
          <w:tab w:val="left" w:pos="2801"/>
          <w:tab w:val="left" w:pos="7555"/>
        </w:tabs>
      </w:pPr>
      <w:r>
        <w:t xml:space="preserve">-Сформированность </w:t>
      </w:r>
      <w:r>
        <w:rPr>
          <w:color w:val="000000"/>
          <w:lang w:eastAsia="ru-RU" w:bidi="ru-RU"/>
        </w:rPr>
        <w:t xml:space="preserve">представлений </w:t>
      </w:r>
      <w:r>
        <w:t xml:space="preserve">о культуре </w:t>
      </w:r>
      <w:r>
        <w:rPr>
          <w:color w:val="000000"/>
          <w:lang w:eastAsia="ru-RU" w:bidi="ru-RU"/>
        </w:rPr>
        <w:t>безопасности</w:t>
      </w:r>
      <w:r>
        <w:t xml:space="preserve"> </w:t>
      </w:r>
      <w:r>
        <w:rPr>
          <w:color w:val="000000"/>
          <w:lang w:eastAsia="ru-RU" w:bidi="ru-RU"/>
        </w:rPr>
        <w:t>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9E6A6D" w:rsidRDefault="009E6A6D" w:rsidP="009E6A6D">
      <w:pPr>
        <w:pStyle w:val="20"/>
        <w:shd w:val="clear" w:color="auto" w:fill="auto"/>
        <w:tabs>
          <w:tab w:val="left" w:pos="2801"/>
          <w:tab w:val="left" w:pos="5002"/>
        </w:tabs>
      </w:pPr>
      <w:r>
        <w:t xml:space="preserve">-сформированность представлений </w:t>
      </w:r>
      <w:r>
        <w:rPr>
          <w:color w:val="000000"/>
          <w:lang w:eastAsia="ru-RU" w:bidi="ru-RU"/>
        </w:rPr>
        <w:t>о необходимости отрицания</w:t>
      </w:r>
      <w:r>
        <w:t xml:space="preserve"> </w:t>
      </w:r>
      <w:r>
        <w:rPr>
          <w:color w:val="000000"/>
          <w:lang w:eastAsia="ru-RU" w:bidi="ru-RU"/>
        </w:rPr>
        <w:t>экстремизма, терроризма, других действий противоправного характера, а также асоциального поведения;</w:t>
      </w:r>
    </w:p>
    <w:p w:rsidR="00297045" w:rsidRPr="00B603B5" w:rsidRDefault="009E6A6D" w:rsidP="00B603B5">
      <w:pPr>
        <w:pStyle w:val="20"/>
        <w:shd w:val="clear" w:color="auto" w:fill="auto"/>
      </w:pPr>
      <w:r>
        <w:rPr>
          <w:color w:val="000000"/>
          <w:lang w:eastAsia="ru-RU" w:bidi="ru-RU"/>
        </w:rPr>
        <w:lastRenderedPageBreak/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</w:t>
      </w:r>
      <w:r w:rsidR="00B603B5">
        <w:t xml:space="preserve"> п</w:t>
      </w:r>
      <w:r w:rsidR="00297045" w:rsidRPr="00297045">
        <w:rPr>
          <w:color w:val="000000"/>
          <w:lang w:eastAsia="ru-RU" w:bidi="ru-RU"/>
        </w:rPr>
        <w:t>риродного, техногенного и социального характера; освоение знания факторов, пагубно влияющих на здоровье человека;</w:t>
      </w:r>
    </w:p>
    <w:p w:rsidR="00297045" w:rsidRPr="00297045" w:rsidRDefault="00297045" w:rsidP="00297045">
      <w:pPr>
        <w:widowControl w:val="0"/>
        <w:numPr>
          <w:ilvl w:val="0"/>
          <w:numId w:val="1"/>
        </w:numPr>
        <w:tabs>
          <w:tab w:val="left" w:pos="317"/>
        </w:tabs>
        <w:spacing w:after="0" w:line="485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получение и освоение знания основ обороны государства и воинской службы, в том числе:</w:t>
      </w:r>
    </w:p>
    <w:p w:rsidR="00297045" w:rsidRPr="00B603B5" w:rsidRDefault="00297045" w:rsidP="00B603B5">
      <w:pPr>
        <w:widowControl w:val="0"/>
        <w:numPr>
          <w:ilvl w:val="0"/>
          <w:numId w:val="1"/>
        </w:numPr>
        <w:tabs>
          <w:tab w:val="left" w:pos="317"/>
        </w:tabs>
        <w:spacing w:after="0" w:line="485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законодательства об обороне государства и воинской обязанности граждан;</w:t>
      </w:r>
      <w:r w:rsidR="00B603B5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 </w:t>
      </w:r>
      <w:r w:rsidRPr="00B603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освоение знания основных видов военно- профессиональной деятельности.</w:t>
      </w:r>
    </w:p>
    <w:p w:rsidR="00297045" w:rsidRPr="00297045" w:rsidRDefault="00297045" w:rsidP="00297045">
      <w:pPr>
        <w:widowControl w:val="0"/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Рассматривая предметную область знаний «Обеспечения безопасности жизнедеятельности», необходимо отметить, что различные сферы жизни человека, общества, государства и всего пространства их безопасности являются интегративной, синтетической системой научных знаний, развивающейся на межпредметной, как выше уже было отмечено, комплексной основе.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В последние годы, в особенности после государственного переворота на Украине в феврале 2014 г., все большее внимание в российской и зарубежной политологии, военной науке и даже в соответствующих официальных документах отводится проблематике так называемой гибридной войны. Под «гибридной войной», как правило, подразумеваются военные действия, которые совмещают </w:t>
      </w:r>
      <w:r w:rsidRPr="002970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дозированное использование регулярных вооруженных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297045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сил, операции неформальных вооруженных формирований, акции гражданского протеста и саботажа, а также информационную войну с использованием современных компьютерных технологий.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ЦРУ, другие спецслужбы США разгромили СССР методами гибридной войны, которые они используют в настоящее время против России. Советский Союз не спасли ни ракеты с разделяющимися ядерными боеголовками, ни мобилизационные мощности, которые</w:t>
      </w:r>
      <w:r w:rsidR="00B603B5" w:rsidRPr="00B60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 xml:space="preserve"> </w:t>
      </w:r>
      <w:r w:rsidR="00B603B5"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остались невостребованными в силу поражения руководства страны когнитивным оружием противника.</w:t>
      </w:r>
    </w:p>
    <w:p w:rsidR="00B603B5" w:rsidRPr="00297045" w:rsidRDefault="00A315A2" w:rsidP="00B603B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A315A2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2D348F7" wp14:editId="7EA2DED4">
            <wp:simplePos x="0" y="0"/>
            <wp:positionH relativeFrom="margin">
              <wp:posOffset>118753</wp:posOffset>
            </wp:positionH>
            <wp:positionV relativeFrom="paragraph">
              <wp:posOffset>187193</wp:posOffset>
            </wp:positionV>
            <wp:extent cx="5106670" cy="3449955"/>
            <wp:effectExtent l="0" t="0" r="0" b="0"/>
            <wp:wrapThrough wrapText="bothSides">
              <wp:wrapPolygon edited="0">
                <wp:start x="0" y="0"/>
                <wp:lineTo x="0" y="21469"/>
                <wp:lineTo x="21514" y="21469"/>
                <wp:lineTo x="21514" y="0"/>
                <wp:lineTo x="0" y="0"/>
              </wp:wrapPolygon>
            </wp:wrapThrough>
            <wp:docPr id="10" name="Рисунок 10" descr="C:\Users\Admin\Desktop\пыпыыпы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ыпыыпы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3B5" w:rsidRPr="00B60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 xml:space="preserve"> 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</w:p>
    <w:p w:rsidR="00297045" w:rsidRDefault="00297045" w:rsidP="00A315A2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Последнее включает в себя следующие элементы: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-  </w:t>
      </w: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разрушение идеологии, объединяющей общество и поддерживающей политическую систему;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- замутнение сознания властвующей элиты, подрыв основополагающих ценностей, оправдывающих её господство;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- выращивание сети «агентов влияния» в высших эшелонах власти, работающих на разрушение существующей системы управления путём проведения идеологически мотивированных</w:t>
      </w:r>
      <w:r w:rsidR="00B60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 xml:space="preserve"> </w:t>
      </w: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реформ;</w:t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2970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- подмена понятий в общественном сознании и дискредитация привычных ценностей с целью их замены ложными ориентирами;</w:t>
      </w:r>
    </w:p>
    <w:p w:rsidR="00B44679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lastRenderedPageBreak/>
        <w:t>- невоенные методы взаимодействия с другими государствами</w:t>
      </w:r>
      <w:r w:rsidR="00B446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.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По информации издания, в собрании также приняли участие вице- премьер РФ Дмитрий Рогозин, члены академии и эксперты. Глава Академии военных наук Махмут Гареев выступил с ежегодным отчетом о работе академии. Также участники обсудили реформирование оборонно-промышленного комплекса, переоснащение армии, поставки вооружений, возможность создания частных военных компаний.</w:t>
      </w:r>
    </w:p>
    <w:p w:rsidR="00B44679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Военные эксперты, присутствовавшие на 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Всероссийском офицерском </w:t>
      </w: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собрании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 «Союз Советских офицеров»</w:t>
      </w: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, приз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вали </w:t>
      </w: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серьезно подойти к разработке концепции "мягкой силы", отмечая при этом, "что ее отдельные элементы уже есть в концепции внешней политики РФ, но они намечены лишь штрихами и во </w:t>
      </w:r>
    </w:p>
    <w:p w:rsidR="00876B9F" w:rsidRPr="00876B9F" w:rsidRDefault="00B44679" w:rsidP="00B44679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 w:bidi="ru-RU"/>
        </w:rPr>
        <w:drawing>
          <wp:anchor distT="0" distB="0" distL="114300" distR="114300" simplePos="0" relativeHeight="251660288" behindDoc="0" locked="0" layoutInCell="1" allowOverlap="1" wp14:anchorId="541AEDA0" wp14:editId="281AE732">
            <wp:simplePos x="0" y="0"/>
            <wp:positionH relativeFrom="margin">
              <wp:align>center</wp:align>
            </wp:positionH>
            <wp:positionV relativeFrom="paragraph">
              <wp:posOffset>529295</wp:posOffset>
            </wp:positionV>
            <wp:extent cx="4435475" cy="2921635"/>
            <wp:effectExtent l="0" t="0" r="3175" b="0"/>
            <wp:wrapTopAndBottom/>
            <wp:docPr id="3" name="Рисунок 3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9F"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многом копируют зарубежные наработки в этой сфере".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"Гибридная война" - военная стратегия, объединяющая обычную войну, малую войну и кибервойну. Одной из главных форм ведения "гибридной войны" являются информационные действия, психологические акции.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 Ярким примером </w:t>
      </w:r>
      <w:r w:rsidR="00B44679"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кибернетичес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ких </w:t>
      </w:r>
      <w:r w:rsidR="00B44679"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атак, нацеленн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ых</w:t>
      </w:r>
      <w:r w:rsidR="00B44679"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 как на структурные технические компоненты 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нашей родины</w:t>
      </w:r>
      <w:r w:rsidR="00B44679"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, так и на 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отдельных</w:t>
      </w:r>
      <w:r w:rsidR="00B44679"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 граждан</w:t>
      </w:r>
      <w:r w:rsidR="00B44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 xml:space="preserve"> являются инспирированные спецслужбами США и Великобритании современные диверсии СБУ.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lastRenderedPageBreak/>
        <w:t>"Цветные революции" - собирательное название процессов смены власти, таких как "революция роз" в Грузии, "тюльпановая" в Киргизии,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"оранжевая" на Украине, "жасминовая" в Тунисе и "лотосовая" в Египте. Начинаясь как мирные митинги, "цветные революции”, как правило, выливаются в жесткие противостояния, выходя из правовых рамок.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"Мягкая сила" предполагает добровольное вовлечение в орбиту своих интересов, в первую очередь за счет создания привлекательного образа в противовес "жесткой силе", опирающейся на принуждение и деньги.</w:t>
      </w:r>
    </w:p>
    <w:p w:rsidR="00B44679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 xml:space="preserve">Актуальность использования современных информационных технологий (компьютер, Интернет) в исследовании истоков всех побед Красной Армии и массового героизма советского народа в Великой Отечественной войне очевидна. 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 w:bidi="ru-RU"/>
        </w:rPr>
        <w:t>Они дают возможность увидеть особенности советского политического строя и научность морально-политического воспитания молодежи в СССР, качеств личности военнослужащего как защитника Отечества: любовь к Родине, высокую воинскую дисциплину,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</w:r>
    </w:p>
    <w:p w:rsidR="00876B9F" w:rsidRPr="00876B9F" w:rsidRDefault="00876B9F" w:rsidP="00876B9F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876B9F"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 w:bidi="ru-RU"/>
        </w:rPr>
        <w:drawing>
          <wp:anchor distT="0" distB="0" distL="114300" distR="114300" simplePos="0" relativeHeight="251661312" behindDoc="0" locked="0" layoutInCell="1" allowOverlap="1" wp14:anchorId="17D80863" wp14:editId="55C689A4">
            <wp:simplePos x="0" y="0"/>
            <wp:positionH relativeFrom="column">
              <wp:posOffset>153513</wp:posOffset>
            </wp:positionH>
            <wp:positionV relativeFrom="paragraph">
              <wp:posOffset>55038</wp:posOffset>
            </wp:positionV>
            <wp:extent cx="4773930" cy="3378835"/>
            <wp:effectExtent l="0" t="0" r="7620" b="0"/>
            <wp:wrapThrough wrapText="bothSides">
              <wp:wrapPolygon edited="0">
                <wp:start x="0" y="0"/>
                <wp:lineTo x="0" y="21434"/>
                <wp:lineTo x="21548" y="21434"/>
                <wp:lineTo x="21548" y="0"/>
                <wp:lineTo x="0" y="0"/>
              </wp:wrapPolygon>
            </wp:wrapThrough>
            <wp:docPr id="4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045" w:rsidRPr="00297045" w:rsidRDefault="00297045" w:rsidP="00297045">
      <w:pPr>
        <w:widowControl w:val="0"/>
        <w:spacing w:after="0" w:line="485" w:lineRule="exact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</w:p>
    <w:p w:rsidR="004549A6" w:rsidRDefault="004549A6"/>
    <w:p w:rsidR="00ED0612" w:rsidRDefault="00ED0612"/>
    <w:p w:rsidR="00ED0612" w:rsidRDefault="00ED0612"/>
    <w:p w:rsidR="00ED0612" w:rsidRDefault="00ED0612"/>
    <w:p w:rsidR="00ED0612" w:rsidRDefault="00ED0612"/>
    <w:p w:rsidR="00ED0612" w:rsidRDefault="00ED0612"/>
    <w:p w:rsidR="00ED0612" w:rsidRDefault="00ED0612"/>
    <w:p w:rsidR="00ED0612" w:rsidRDefault="00ED0612"/>
    <w:p w:rsidR="00ED0612" w:rsidRDefault="00ED0612"/>
    <w:p w:rsidR="00ED0612" w:rsidRDefault="00ED0612"/>
    <w:p w:rsidR="00ED0612" w:rsidRPr="00F9332C" w:rsidRDefault="00ED0612" w:rsidP="00F9332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32C">
        <w:rPr>
          <w:rFonts w:ascii="Times New Roman" w:hAnsi="Times New Roman" w:cs="Times New Roman"/>
          <w:sz w:val="32"/>
          <w:szCs w:val="32"/>
        </w:rPr>
        <w:t>Как и 80 лет назад мы повторяем: «Наше дело правое, враг будет разбит, Победа будет за нами</w:t>
      </w:r>
      <w:r w:rsidR="00F9332C">
        <w:rPr>
          <w:rFonts w:ascii="Times New Roman" w:hAnsi="Times New Roman" w:cs="Times New Roman"/>
          <w:sz w:val="32"/>
          <w:szCs w:val="32"/>
        </w:rPr>
        <w:t>!</w:t>
      </w:r>
      <w:r w:rsidRPr="00F9332C">
        <w:rPr>
          <w:rFonts w:ascii="Times New Roman" w:hAnsi="Times New Roman" w:cs="Times New Roman"/>
          <w:sz w:val="32"/>
          <w:szCs w:val="32"/>
        </w:rPr>
        <w:t>».</w:t>
      </w:r>
    </w:p>
    <w:sectPr w:rsidR="00ED0612" w:rsidRPr="00F9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636"/>
    <w:multiLevelType w:val="multilevel"/>
    <w:tmpl w:val="4F3E5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896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D"/>
    <w:rsid w:val="00124AFB"/>
    <w:rsid w:val="00297045"/>
    <w:rsid w:val="003D1245"/>
    <w:rsid w:val="00432838"/>
    <w:rsid w:val="007C2642"/>
    <w:rsid w:val="00876B9F"/>
    <w:rsid w:val="008A2636"/>
    <w:rsid w:val="008A605C"/>
    <w:rsid w:val="009E6A6D"/>
    <w:rsid w:val="00A315A2"/>
    <w:rsid w:val="00B44679"/>
    <w:rsid w:val="00B603B5"/>
    <w:rsid w:val="00E758BE"/>
    <w:rsid w:val="00ED0612"/>
    <w:rsid w:val="00F9332C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D7F1"/>
  <w15:chartTrackingRefBased/>
  <w15:docId w15:val="{915349FE-2E0B-49F1-91AD-FA9E52D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6A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6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6A6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E6A6D"/>
    <w:pPr>
      <w:widowControl w:val="0"/>
      <w:shd w:val="clear" w:color="auto" w:fill="FFFFFF"/>
      <w:spacing w:after="480" w:line="557" w:lineRule="exact"/>
      <w:ind w:hanging="4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9E6A6D"/>
    <w:pPr>
      <w:widowControl w:val="0"/>
      <w:shd w:val="clear" w:color="auto" w:fill="FFFFFF"/>
      <w:spacing w:before="480" w:after="480"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E6A6D"/>
    <w:pPr>
      <w:widowControl w:val="0"/>
      <w:shd w:val="clear" w:color="auto" w:fill="FFFFFF"/>
      <w:spacing w:before="480" w:after="0" w:line="485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9E6A6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A6D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Сталь</cp:lastModifiedBy>
  <cp:revision>7</cp:revision>
  <dcterms:created xsi:type="dcterms:W3CDTF">2023-11-21T10:19:00Z</dcterms:created>
  <dcterms:modified xsi:type="dcterms:W3CDTF">2023-11-22T08:55:00Z</dcterms:modified>
</cp:coreProperties>
</file>