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2970" w14:textId="77777777" w:rsidR="00FE73C9" w:rsidRPr="00FE73C9" w:rsidRDefault="00FE73C9" w:rsidP="00FE73C9">
      <w:pPr>
        <w:widowControl w:val="0"/>
        <w:autoSpaceDE w:val="0"/>
        <w:autoSpaceDN w:val="0"/>
        <w:spacing w:before="78" w:after="0" w:line="240" w:lineRule="auto"/>
        <w:ind w:left="1129" w:right="17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ЯЗЫКОВОЙ</w:t>
      </w:r>
      <w:r w:rsidRPr="00FE73C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FE73C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РУССКОГО</w:t>
      </w:r>
      <w:r w:rsidRPr="00FE73C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 ТЕКСТА В ПРОЦЕССЕ ПОДГОТОВКИ</w:t>
      </w:r>
    </w:p>
    <w:p w14:paraId="2F82AB58" w14:textId="77777777" w:rsidR="00FE73C9" w:rsidRPr="00FE73C9" w:rsidRDefault="00FE73C9" w:rsidP="00FE73C9">
      <w:pPr>
        <w:widowControl w:val="0"/>
        <w:autoSpaceDE w:val="0"/>
        <w:autoSpaceDN w:val="0"/>
        <w:spacing w:after="0" w:line="321" w:lineRule="exact"/>
        <w:ind w:left="536" w:right="11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3C9">
        <w:rPr>
          <w:rFonts w:ascii="Times New Roman" w:eastAsia="Times New Roman" w:hAnsi="Times New Roman" w:cs="Times New Roman"/>
          <w:b/>
          <w:sz w:val="28"/>
        </w:rPr>
        <w:t>К</w:t>
      </w:r>
      <w:r w:rsidRPr="00FE73C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sz w:val="28"/>
        </w:rPr>
        <w:t>ИТОГОВОМУ</w:t>
      </w:r>
      <w:r w:rsidRPr="00FE73C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spacing w:val="-2"/>
          <w:sz w:val="28"/>
        </w:rPr>
        <w:t>СОЧИНЕНИЮ</w:t>
      </w:r>
    </w:p>
    <w:p w14:paraId="42F419E6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2589C" w14:textId="0B94C408" w:rsidR="00FE73C9" w:rsidRDefault="00FE73C9" w:rsidP="00FE73C9">
      <w:pPr>
        <w:widowControl w:val="0"/>
        <w:autoSpaceDE w:val="0"/>
        <w:autoSpaceDN w:val="0"/>
        <w:spacing w:before="1" w:after="0" w:line="319" w:lineRule="exact"/>
        <w:ind w:left="625" w:right="1412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Плаксина</w:t>
      </w:r>
      <w:r w:rsidRPr="00FE73C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Н</w:t>
      </w:r>
      <w:r w:rsidRPr="00FE73C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.В.,</w:t>
      </w:r>
    </w:p>
    <w:p w14:paraId="653117D5" w14:textId="10D0820E" w:rsidR="00FE73C9" w:rsidRPr="00FE73C9" w:rsidRDefault="00FE73C9" w:rsidP="00FE73C9">
      <w:pPr>
        <w:widowControl w:val="0"/>
        <w:autoSpaceDE w:val="0"/>
        <w:autoSpaceDN w:val="0"/>
        <w:spacing w:before="1" w:after="0" w:line="319" w:lineRule="exact"/>
        <w:ind w:left="625" w:right="1412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учитель русского языка и литературы</w:t>
      </w:r>
    </w:p>
    <w:p w14:paraId="486D7E57" w14:textId="77777777" w:rsidR="00FE73C9" w:rsidRPr="00FE73C9" w:rsidRDefault="00FE73C9" w:rsidP="00FE73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684C5B" w14:textId="77777777" w:rsidR="00FE73C9" w:rsidRPr="00FE73C9" w:rsidRDefault="00FE73C9" w:rsidP="00FE73C9">
      <w:pPr>
        <w:widowControl w:val="0"/>
        <w:autoSpaceDE w:val="0"/>
        <w:autoSpaceDN w:val="0"/>
        <w:spacing w:before="314"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Отсутствие реального интереса к русскому классическому тексту у современных старшеклассников во многом определяется сложными про- блемами понимания и интерпретации отдельных языковых единиц (слов, фразеологических сочетаний, предложений), типичных для языковой кар- тины мира, представленной в тексте. Сложная мыслительная работа, про- изводимая в процессе восприятия художественного текста, имеет своей целью не только создание в сознании обучаемого определенного художе- ственного образа, но и формирование эмоциональной компетенции, уме- ния переживать и выражать оценочное отношение к представленной си- туации. Именно эти способности позволяют выпускнику репрезентировать собственную позицию в процессе написания проблемного итогового сочи- нения ЕГЭ, базирующегося на знании русского классического художест- венного текста.</w:t>
      </w:r>
    </w:p>
    <w:p w14:paraId="334639CB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Художественный текст состоит из системно связанных уровней ком- муникации, в основе которых находится автор как организующий центр произведения. Разноуровневые языковые средства выражают сложные от- ношения между разными модальными планами: автора-повествователя, рассказчика, персонажей, что часто затрудняет восприятие художествен- ного текста. Представляется плодотворным языковой анализ фрагмента текста в процессе подготовки к итоговому сочинению, поскольку текст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есть высший уровень речевой коммуникации.</w:t>
      </w:r>
    </w:p>
    <w:p w14:paraId="2823E874" w14:textId="772B03C2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Человеку свойственно эмоциональное мышление, «эмоциональный интеллект», поскольку он связан с квалификативной деятельностью человека как «меры всех вещей». Сознание способно «про- пускать мир через себя» [3, с. 109], что предопределяет необходимость эмоций как реакций на этот мир, желательных или нежелательных, заслуживающих одобрения или порицания. В процессе чтения и осмысления текста учащийся переносит на воспринимаемый и оцениваемый предмет или событие, в том числе и событие художественного мира, свои эмоции, связанные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жизненным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ассоциациями,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этом</w:t>
      </w:r>
    </w:p>
    <w:p w14:paraId="04997D77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0F6EF11C" w14:textId="1BEEFC63" w:rsidR="00FE73C9" w:rsidRPr="00FE73C9" w:rsidRDefault="00FE73C9" w:rsidP="00FE73C9">
      <w:pPr>
        <w:widowControl w:val="0"/>
        <w:autoSpaceDE w:val="0"/>
        <w:autoSpaceDN w:val="0"/>
        <w:spacing w:before="73" w:after="0" w:line="240" w:lineRule="auto"/>
        <w:ind w:left="778" w:right="1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предмете, испытывает особое удовлетворение, чувство эмоциональной ин- дикации за счет «психического резонанса». Поскольку эмоционально вос- принятый и проанализированный фрагмент отражает основные идеи тек- ста, его смысловые доминанты, выбор фрагмента для языкового анализа должен осуществляться с учетом предложенных для итогового сочинения проблем.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ногие из этих проблем представлены в романе-эпопее Л.Н. Толстого «Война и мир».</w:t>
      </w:r>
    </w:p>
    <w:p w14:paraId="2E247F76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Каждое новое поколение открывает в художественном тексте новые смыслы. Представляется значимым рассмотреть, как актуализируется эмо- тивный фрагмент русской языковой картины мира в литературной комму- никации, поскольку понимание русского художественного текста, умение его интерпретировать позволяет оценить эмоциональную компетенцию учащегося, его способности к языковому выражению эмоционально- оценочного отношения к миру. Например, анализируя фрагмент текста ро- мана «Война и мир» Л.Н. Толстого, учащиеся получают психологически значимые представления о сценарии эмоциональной ситуации и могут оценить достоверность созданного писателем образа. Автор представляет эмоциональное состояние героини, намеренно нарушая установленный сценарий ситуации</w:t>
      </w:r>
      <w:r w:rsidRPr="00FE73C9">
        <w:rPr>
          <w:rFonts w:ascii="Times New Roman" w:eastAsia="Times New Roman" w:hAnsi="Times New Roman" w:cs="Times New Roman"/>
          <w:i/>
          <w:sz w:val="28"/>
          <w:szCs w:val="28"/>
        </w:rPr>
        <w:t xml:space="preserve">: Она вынула платок и заплакала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(т.1, гл. XI). Посколь- ку общие фоновые знания, позволяющие интерпретировать ситуацию, со- держат информацию о последовательности действий и о знаковом харак- тере эмоциональных проявлений − плач как невербальный компонент си- туации содержит преимущественно негативную информацию, которая мо- жет явиться для адресата сигналом о сочувствии, − то «неправильный эмо- циональный сценарий» свидетельствует о преднамеренности выражения эмоций и, следовательно, об их ложности.</w:t>
      </w:r>
    </w:p>
    <w:p w14:paraId="493AA5DD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Литературная (художественная) коммуникация представляет собой один из совершенных и гармоничных типов общения, так как именно она позволяет человеку, вступившему посредством художественного текста в контакт с другим человеком, приобрести интеллектуальный, жизненный, эмоциональный опыт. Нельзя не согласиться с Е.А. Поповой, что «художе- ственный текст, благодаря своей способности преодолевать века и про- странства, обеспечивает существование человеческой культуры и в конеч- ном счете человечества» [2, с. 4].</w:t>
      </w:r>
    </w:p>
    <w:p w14:paraId="69F9DA83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Эмоциональный сценарий отражается в событийной структуре ху- дожественного текста, проявляясь прежде всего в диалогах персонажей. Интерпретация автором возможного в реальной действительности эмоцио- нального события в художественном тексте имеет целью заставить сочув- ствовать, переживать изображаемое, декодируя в своем сознании структу- ру сценария от конца к началу.</w:t>
      </w:r>
    </w:p>
    <w:p w14:paraId="3140BB84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Как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правило,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анализ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художественного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текста связан с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фрагментами,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отражающими целостную художественную картину мира. Именно целост-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ность</w:t>
      </w:r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основное</w:t>
      </w:r>
      <w:r w:rsidRPr="00FE73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свойство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художественного</w:t>
      </w:r>
      <w:r w:rsidRPr="00FE73C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текста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позволяет</w:t>
      </w:r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увидеть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>его</w:t>
      </w:r>
    </w:p>
    <w:p w14:paraId="1B668E52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486EB1AF" w14:textId="77777777" w:rsidR="00FE73C9" w:rsidRPr="00FE73C9" w:rsidRDefault="00FE73C9" w:rsidP="00FE73C9">
      <w:pPr>
        <w:widowControl w:val="0"/>
        <w:autoSpaceDE w:val="0"/>
        <w:autoSpaceDN w:val="0"/>
        <w:spacing w:before="73" w:after="0" w:line="240" w:lineRule="auto"/>
        <w:ind w:left="778" w:right="1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lastRenderedPageBreak/>
        <w:t>общую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концептуальную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макротекста.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эмо- ции воспринимаются читателем-интерпретатором в виде информации о чувствах и оценках автора или персонажа художественного произведения. Например, анализируя эпизод из первой части четвертого тома романа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Толстого «Война и мир», можно достаточно четко выявить ключевые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концепты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текста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– внешнее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внутреннее, –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представленные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противопостав-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лении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тесной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(жизнь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смерть,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содержание, речь,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мысль).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реплик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Наташи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Ростовой</w:t>
      </w:r>
      <w:r w:rsidRPr="00FE73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Ма-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рьи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Болконской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оказывается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менее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значимым,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чем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внутреннее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эмоциональное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состояние героев:</w:t>
      </w:r>
    </w:p>
    <w:p w14:paraId="59A374DE" w14:textId="77777777" w:rsidR="00FE73C9" w:rsidRPr="00FE73C9" w:rsidRDefault="00FE73C9" w:rsidP="00FE73C9">
      <w:pPr>
        <w:widowControl w:val="0"/>
        <w:autoSpaceDE w:val="0"/>
        <w:autoSpaceDN w:val="0"/>
        <w:spacing w:after="0" w:line="321" w:lineRule="exact"/>
        <w:ind w:left="1486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Княжна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Марья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поняла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все.</w:t>
      </w:r>
    </w:p>
    <w:p w14:paraId="6EC750DF" w14:textId="77777777" w:rsidR="00FE73C9" w:rsidRPr="00FE73C9" w:rsidRDefault="00FE73C9" w:rsidP="00FE73C9">
      <w:pPr>
        <w:widowControl w:val="0"/>
        <w:autoSpaceDE w:val="0"/>
        <w:autoSpaceDN w:val="0"/>
        <w:spacing w:before="2" w:after="0" w:line="242" w:lineRule="auto"/>
        <w:ind w:left="778" w:right="1414" w:firstLine="70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 xml:space="preserve">Но все-таки она надеялась и спросила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 xml:space="preserve">словами, в которые она не </w:t>
      </w:r>
      <w:r w:rsidRPr="00FE73C9">
        <w:rPr>
          <w:rFonts w:ascii="Times New Roman" w:eastAsia="Times New Roman" w:hAnsi="Times New Roman" w:cs="Times New Roman"/>
          <w:b/>
          <w:i/>
          <w:spacing w:val="-2"/>
          <w:sz w:val="28"/>
        </w:rPr>
        <w:t>верила:</w:t>
      </w:r>
    </w:p>
    <w:p w14:paraId="6F766E40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87"/>
        </w:tabs>
        <w:autoSpaceDE w:val="0"/>
        <w:autoSpaceDN w:val="0"/>
        <w:spacing w:after="0" w:line="308" w:lineRule="exact"/>
        <w:ind w:left="1687" w:hanging="20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как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его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рана?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Вообще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каком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он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положении?</w:t>
      </w:r>
    </w:p>
    <w:p w14:paraId="2D70752D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87"/>
        </w:tabs>
        <w:autoSpaceDE w:val="0"/>
        <w:autoSpaceDN w:val="0"/>
        <w:spacing w:after="0" w:line="322" w:lineRule="exact"/>
        <w:ind w:left="1687" w:hanging="201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Вы,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вы…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увидите,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только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могла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сказать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Наташа.</w:t>
      </w:r>
    </w:p>
    <w:p w14:paraId="4E4C16CA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финале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Толстой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монолог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Наташи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Рос- товой в восприятии Марьи Болконской. На первый взгляд, перед нами кос- венная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гово- рящего,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насыщенные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оценками:</w:t>
      </w:r>
    </w:p>
    <w:p w14:paraId="58131C3F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5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>Наташа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рассказывала,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первое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время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была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опасность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от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горячеч- ного состояния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 от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страданий, но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FE73C9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 xml:space="preserve">Тройце </w:t>
      </w:r>
      <w:r w:rsidRPr="00FE73C9">
        <w:rPr>
          <w:rFonts w:ascii="Times New Roman" w:eastAsia="Times New Roman" w:hAnsi="Times New Roman" w:cs="Times New Roman"/>
          <w:i/>
          <w:sz w:val="28"/>
        </w:rPr>
        <w:t>это прошло,</w:t>
      </w:r>
      <w:r w:rsidRPr="00FE73C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 доктор боялся одного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антонова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огня.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эта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опасность</w:t>
      </w:r>
      <w:r w:rsidRPr="00FE73C9">
        <w:rPr>
          <w:rFonts w:ascii="Times New Roman" w:eastAsia="Times New Roman" w:hAnsi="Times New Roman" w:cs="Times New Roman"/>
          <w:b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миновалась</w:t>
      </w:r>
      <w:r w:rsidRPr="00FE73C9">
        <w:rPr>
          <w:rFonts w:ascii="Times New Roman" w:eastAsia="Times New Roman" w:hAnsi="Times New Roman" w:cs="Times New Roman"/>
          <w:i/>
          <w:sz w:val="28"/>
        </w:rPr>
        <w:t>.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Когда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приехали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в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Ярославль,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рана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стала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гноиться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(Наташа</w:t>
      </w:r>
      <w:r w:rsidRPr="00FE73C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знала</w:t>
      </w:r>
      <w:r w:rsidRPr="00FE73C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все,</w:t>
      </w:r>
      <w:r w:rsidRPr="00FE73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что</w:t>
      </w:r>
      <w:r w:rsidRPr="00FE73C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касалось</w:t>
      </w:r>
      <w:r w:rsidRPr="00FE73C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нагноения</w:t>
      </w:r>
      <w:r w:rsidRPr="00FE73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 xml:space="preserve">и </w:t>
      </w:r>
      <w:r w:rsidRPr="00FE73C9">
        <w:rPr>
          <w:rFonts w:ascii="Times New Roman" w:eastAsia="Times New Roman" w:hAnsi="Times New Roman" w:cs="Times New Roman"/>
          <w:sz w:val="28"/>
        </w:rPr>
        <w:t>т.п.)</w:t>
      </w:r>
      <w:r w:rsidRPr="00FE73C9">
        <w:rPr>
          <w:rFonts w:ascii="Times New Roman" w:eastAsia="Times New Roman" w:hAnsi="Times New Roman" w:cs="Times New Roman"/>
          <w:i/>
          <w:sz w:val="28"/>
        </w:rPr>
        <w:t>,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доктор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говорил,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нагноение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может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пойти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правильно.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Сделалась лихорадка</w:t>
      </w:r>
      <w:r w:rsidRPr="00FE73C9">
        <w:rPr>
          <w:rFonts w:ascii="Times New Roman" w:eastAsia="Times New Roman" w:hAnsi="Times New Roman" w:cs="Times New Roman"/>
          <w:i/>
          <w:sz w:val="28"/>
        </w:rPr>
        <w:t>.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Доктор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говорил,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лихорадка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эта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не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так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опасна…</w:t>
      </w:r>
    </w:p>
    <w:p w14:paraId="702F870F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Полимодальность художественного текста как нельзя более ясно проявляется в данном фрагменте, который, по нашему мнению, представ- ляет собой одну из разновидностей текста несобственно-прямой речи, так как здесь совмещены и выражены и модальный план говорящего, Наташи Ростовой, и модус Марьи Болконской, и оценочное отношение автора- повествователя, и модус третьего лица (доктора), не участвующего в акту- альной речевой ситуации. Авторский модальный план выражен и графиче- ски – скобками, − что в повествовании от 3 лица встречается достаточно редко при передаче чужой речи с помощью несобственно-прямой, которая предполагает воссоздание внутренней, а не внешней речи. Но именно по- тому, что внешняя речь Наташи Ростовой представлена в восприятии дру- гого человека, собеседника, появилась необходимость разграничения субъектно-модальных планов автора и героя, воспринимающего чужую речь, что и было сделано с помощью скобок.</w:t>
      </w:r>
    </w:p>
    <w:p w14:paraId="6A5D330C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Следующий фрагмент текста содержит семантический центр, актуа- лизирующий в используемом автором приеме контраста ключевую идею романа – «жизнь – смерть»:</w:t>
      </w:r>
    </w:p>
    <w:p w14:paraId="147C4315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7E26296F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710"/>
        </w:tabs>
        <w:autoSpaceDE w:val="0"/>
        <w:autoSpaceDN w:val="0"/>
        <w:spacing w:before="73" w:after="0" w:line="240" w:lineRule="auto"/>
        <w:ind w:right="1409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lastRenderedPageBreak/>
        <w:t>Но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два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дня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тому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назад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начала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Наташа,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вдруг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это</w:t>
      </w:r>
      <w:r w:rsidRPr="00FE73C9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сделалось…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–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Она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удержала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рыданья.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Я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не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знаю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отчего,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вы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увидите,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какой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он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стал.</w:t>
      </w:r>
    </w:p>
    <w:p w14:paraId="191078FE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96"/>
        </w:tabs>
        <w:autoSpaceDE w:val="0"/>
        <w:autoSpaceDN w:val="0"/>
        <w:spacing w:after="0" w:line="321" w:lineRule="exact"/>
        <w:ind w:left="1696" w:hanging="210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>Ослабел?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похудел?..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спрашивала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княжна.</w:t>
      </w:r>
    </w:p>
    <w:p w14:paraId="27FE70E1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705"/>
        </w:tabs>
        <w:autoSpaceDE w:val="0"/>
        <w:autoSpaceDN w:val="0"/>
        <w:spacing w:after="0" w:line="240" w:lineRule="auto"/>
        <w:ind w:right="1410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>Нет, не то, но хуже. Вы увидите. Ах, Мари, Мари, он слишком хо- рош, он не может, не может жить… потому что…</w:t>
      </w:r>
    </w:p>
    <w:p w14:paraId="673D41F3" w14:textId="77777777" w:rsidR="00FE73C9" w:rsidRPr="00FE73C9" w:rsidRDefault="00FE73C9" w:rsidP="00FE73C9">
      <w:pPr>
        <w:widowControl w:val="0"/>
        <w:autoSpaceDE w:val="0"/>
        <w:autoSpaceDN w:val="0"/>
        <w:spacing w:before="2" w:after="0" w:line="240" w:lineRule="auto"/>
        <w:ind w:left="778" w:right="14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героини выражено в диалоге с помощью многократных лексических повторов, пауз, интонационного выделения от- дельных слов, незаконченности синтаксической конструкции. В тексте ро- мана указательное местоимение «это» выделено курсивом, именно на него падает логическое ударение. Смысловая емкость местоимения позволяет ему актуализировать один из аспектов ситуации, предшествующей акту речи, и раскрыть причины последующих событий в жизни героев. Ситуа- ция смерти близкого человека оценивается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 переживается</w:t>
      </w:r>
      <w:r w:rsidRPr="00FE73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учащимися,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что помогает понять ценность жизни и определить собственное отношение к окружающим людям.</w:t>
      </w:r>
    </w:p>
    <w:p w14:paraId="3417FBCB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«Эмоциональное восприятие данной ситуации Наташей Ростовой, отраженное в ее репликах, многое говорит и о самой героине, способствуя созданию целостного образа. Уже в первых главах романа она предстает как человек, который совершает серьезную внутреннюю работу. И в то же время она наивна, непосредственна, доверяет людям и неравнодушна к ним. Наташа Ростова соединяет в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себе мысль, чувство и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слово, она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говорит то, что думает и чувствует, представляя тот идеал духовности, к которому стремился сам писатель» [1, с. 28].</w:t>
      </w:r>
    </w:p>
    <w:p w14:paraId="17235F88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Трудно переоценить эмотивную составляющую образа, но то, что в процессе анализа языка художественного текста необходимо почувство- вать и определить особенности эмоциональной сферы персонажа, пред- ставляется значимым, поскольку именно это помогает приобрести неоце- нимый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опыт отношений к другому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человеку, не оставаться равнодушным к чужой боли, что составляет основу русской ментальности. Предложенные для анализа фрагменты романа позволят учащимся понять основные идеи писателя, эмоционально осмыслить поступки персонажей, что поможет сориентироваться при ответе на вопрос, поставленный в теме итогового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сочинения.</w:t>
      </w:r>
    </w:p>
    <w:p w14:paraId="4314B481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Художественные произведения русских писателей прежде всего предлагают осмыслить те ситуации, в которых герои открываются как жи- вые, думающие и чувствующие люди. Именно поэтому, по нашему мне- нию, анализ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языка русского художественного текста как подготовитель- ный этап итогового сочинения необходимо осуществлять, учитывая эмо- тивно-оценочные смыслы, обращаясь к эмотивному компоненту воспри- ятия текста.</w:t>
      </w:r>
    </w:p>
    <w:p w14:paraId="0C5D9960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7DD1A98D" w14:textId="77777777" w:rsidR="00FE73C9" w:rsidRPr="00FE73C9" w:rsidRDefault="00FE73C9" w:rsidP="00FE73C9">
      <w:pPr>
        <w:widowControl w:val="0"/>
        <w:autoSpaceDE w:val="0"/>
        <w:autoSpaceDN w:val="0"/>
        <w:spacing w:before="78" w:after="0" w:line="319" w:lineRule="exact"/>
        <w:ind w:left="29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FE73C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использованных</w:t>
      </w:r>
      <w:r w:rsidRPr="00FE73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источников</w:t>
      </w:r>
    </w:p>
    <w:p w14:paraId="6F627078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0"/>
        <w:jc w:val="both"/>
        <w:rPr>
          <w:rFonts w:ascii="Times New Roman" w:eastAsia="Times New Roman" w:hAnsi="Times New Roman" w:cs="Times New Roman"/>
          <w:sz w:val="28"/>
        </w:rPr>
      </w:pPr>
      <w:r w:rsidRPr="00FE73C9">
        <w:rPr>
          <w:rFonts w:ascii="Times New Roman" w:eastAsia="Times New Roman" w:hAnsi="Times New Roman" w:cs="Times New Roman"/>
          <w:sz w:val="28"/>
        </w:rPr>
        <w:t>Коростова С.В. Эмотивный компонент восприятия художественного текста учащимися старших классов средней школы // Обучение русско- му языку в средней школе: актуальные вопросы теории и практики: ма- териалы I-ой Всероссийской научно-практической конференции (5 но- ября 2015 г.) / Отв. Ред. В.Ю. Меликян. – Ростов н/Д: Дониздат, 2015. – 286 с.</w:t>
      </w:r>
    </w:p>
    <w:p w14:paraId="2E819B50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2"/>
        <w:jc w:val="both"/>
        <w:rPr>
          <w:rFonts w:ascii="Times New Roman" w:eastAsia="Times New Roman" w:hAnsi="Times New Roman" w:cs="Times New Roman"/>
          <w:sz w:val="28"/>
        </w:rPr>
      </w:pPr>
      <w:r w:rsidRPr="00FE73C9">
        <w:rPr>
          <w:rFonts w:ascii="Times New Roman" w:eastAsia="Times New Roman" w:hAnsi="Times New Roman" w:cs="Times New Roman"/>
          <w:sz w:val="28"/>
        </w:rPr>
        <w:t>Попова Е.А. Коммуникативные аспекты традиционного повествования русской классической литературы. В 2 частях. Ч. 1. – Липецк: Изд-во ЛГПУ, 2007. – 212 с.</w:t>
      </w:r>
    </w:p>
    <w:p w14:paraId="3D301F4F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2"/>
        <w:jc w:val="both"/>
        <w:rPr>
          <w:rFonts w:ascii="Times New Roman" w:eastAsia="Times New Roman" w:hAnsi="Times New Roman" w:cs="Times New Roman"/>
          <w:sz w:val="28"/>
        </w:rPr>
      </w:pPr>
      <w:r w:rsidRPr="00FE73C9">
        <w:rPr>
          <w:rFonts w:ascii="Times New Roman" w:eastAsia="Times New Roman" w:hAnsi="Times New Roman" w:cs="Times New Roman"/>
          <w:sz w:val="28"/>
        </w:rPr>
        <w:t>Телия В.Н. Коннотативный аспект семантики номинативных единиц. – М., 1986. – 143 с.</w:t>
      </w:r>
    </w:p>
    <w:p w14:paraId="7CA97E4A" w14:textId="77777777" w:rsidR="00EA138B" w:rsidRDefault="00EA138B"/>
    <w:sectPr w:rsidR="00E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51D"/>
    <w:multiLevelType w:val="hybridMultilevel"/>
    <w:tmpl w:val="B0D0BCB2"/>
    <w:lvl w:ilvl="0" w:tplc="8B0E134C">
      <w:start w:val="1"/>
      <w:numFmt w:val="decimal"/>
      <w:lvlText w:val="%1."/>
      <w:lvlJc w:val="left"/>
      <w:pPr>
        <w:ind w:left="10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76A946">
      <w:numFmt w:val="bullet"/>
      <w:lvlText w:val="•"/>
      <w:lvlJc w:val="left"/>
      <w:pPr>
        <w:ind w:left="2080" w:hanging="284"/>
      </w:pPr>
      <w:rPr>
        <w:lang w:val="ru-RU" w:eastAsia="en-US" w:bidi="ar-SA"/>
      </w:rPr>
    </w:lvl>
    <w:lvl w:ilvl="2" w:tplc="947CD874">
      <w:numFmt w:val="bullet"/>
      <w:lvlText w:val="•"/>
      <w:lvlJc w:val="left"/>
      <w:pPr>
        <w:ind w:left="3101" w:hanging="284"/>
      </w:pPr>
      <w:rPr>
        <w:lang w:val="ru-RU" w:eastAsia="en-US" w:bidi="ar-SA"/>
      </w:rPr>
    </w:lvl>
    <w:lvl w:ilvl="3" w:tplc="58E6DC74">
      <w:numFmt w:val="bullet"/>
      <w:lvlText w:val="•"/>
      <w:lvlJc w:val="left"/>
      <w:pPr>
        <w:ind w:left="4121" w:hanging="284"/>
      </w:pPr>
      <w:rPr>
        <w:lang w:val="ru-RU" w:eastAsia="en-US" w:bidi="ar-SA"/>
      </w:rPr>
    </w:lvl>
    <w:lvl w:ilvl="4" w:tplc="D0DAD1D2">
      <w:numFmt w:val="bullet"/>
      <w:lvlText w:val="•"/>
      <w:lvlJc w:val="left"/>
      <w:pPr>
        <w:ind w:left="5142" w:hanging="284"/>
      </w:pPr>
      <w:rPr>
        <w:lang w:val="ru-RU" w:eastAsia="en-US" w:bidi="ar-SA"/>
      </w:rPr>
    </w:lvl>
    <w:lvl w:ilvl="5" w:tplc="0B2AA110">
      <w:numFmt w:val="bullet"/>
      <w:lvlText w:val="•"/>
      <w:lvlJc w:val="left"/>
      <w:pPr>
        <w:ind w:left="6162" w:hanging="284"/>
      </w:pPr>
      <w:rPr>
        <w:lang w:val="ru-RU" w:eastAsia="en-US" w:bidi="ar-SA"/>
      </w:rPr>
    </w:lvl>
    <w:lvl w:ilvl="6" w:tplc="4DA08244">
      <w:numFmt w:val="bullet"/>
      <w:lvlText w:val="•"/>
      <w:lvlJc w:val="left"/>
      <w:pPr>
        <w:ind w:left="7183" w:hanging="284"/>
      </w:pPr>
      <w:rPr>
        <w:lang w:val="ru-RU" w:eastAsia="en-US" w:bidi="ar-SA"/>
      </w:rPr>
    </w:lvl>
    <w:lvl w:ilvl="7" w:tplc="D6122C94">
      <w:numFmt w:val="bullet"/>
      <w:lvlText w:val="•"/>
      <w:lvlJc w:val="left"/>
      <w:pPr>
        <w:ind w:left="8203" w:hanging="284"/>
      </w:pPr>
      <w:rPr>
        <w:lang w:val="ru-RU" w:eastAsia="en-US" w:bidi="ar-SA"/>
      </w:rPr>
    </w:lvl>
    <w:lvl w:ilvl="8" w:tplc="A40CD8DE">
      <w:numFmt w:val="bullet"/>
      <w:lvlText w:val="•"/>
      <w:lvlJc w:val="left"/>
      <w:pPr>
        <w:ind w:left="9224" w:hanging="284"/>
      </w:pPr>
      <w:rPr>
        <w:lang w:val="ru-RU" w:eastAsia="en-US" w:bidi="ar-SA"/>
      </w:rPr>
    </w:lvl>
  </w:abstractNum>
  <w:abstractNum w:abstractNumId="1" w15:restartNumberingAfterBreak="0">
    <w:nsid w:val="23DE4180"/>
    <w:multiLevelType w:val="hybridMultilevel"/>
    <w:tmpl w:val="0B46D7A0"/>
    <w:lvl w:ilvl="0" w:tplc="92C623D8">
      <w:numFmt w:val="bullet"/>
      <w:lvlText w:val="–"/>
      <w:lvlJc w:val="left"/>
      <w:pPr>
        <w:ind w:left="778" w:hanging="20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D704224">
      <w:numFmt w:val="bullet"/>
      <w:lvlText w:val="•"/>
      <w:lvlJc w:val="left"/>
      <w:pPr>
        <w:ind w:left="1828" w:hanging="202"/>
      </w:pPr>
      <w:rPr>
        <w:lang w:val="ru-RU" w:eastAsia="en-US" w:bidi="ar-SA"/>
      </w:rPr>
    </w:lvl>
    <w:lvl w:ilvl="2" w:tplc="CC6E2720">
      <w:numFmt w:val="bullet"/>
      <w:lvlText w:val="•"/>
      <w:lvlJc w:val="left"/>
      <w:pPr>
        <w:ind w:left="2877" w:hanging="202"/>
      </w:pPr>
      <w:rPr>
        <w:lang w:val="ru-RU" w:eastAsia="en-US" w:bidi="ar-SA"/>
      </w:rPr>
    </w:lvl>
    <w:lvl w:ilvl="3" w:tplc="3F8EA154">
      <w:numFmt w:val="bullet"/>
      <w:lvlText w:val="•"/>
      <w:lvlJc w:val="left"/>
      <w:pPr>
        <w:ind w:left="3925" w:hanging="202"/>
      </w:pPr>
      <w:rPr>
        <w:lang w:val="ru-RU" w:eastAsia="en-US" w:bidi="ar-SA"/>
      </w:rPr>
    </w:lvl>
    <w:lvl w:ilvl="4" w:tplc="A0AEDDD8">
      <w:numFmt w:val="bullet"/>
      <w:lvlText w:val="•"/>
      <w:lvlJc w:val="left"/>
      <w:pPr>
        <w:ind w:left="4974" w:hanging="202"/>
      </w:pPr>
      <w:rPr>
        <w:lang w:val="ru-RU" w:eastAsia="en-US" w:bidi="ar-SA"/>
      </w:rPr>
    </w:lvl>
    <w:lvl w:ilvl="5" w:tplc="20AA824A">
      <w:numFmt w:val="bullet"/>
      <w:lvlText w:val="•"/>
      <w:lvlJc w:val="left"/>
      <w:pPr>
        <w:ind w:left="6022" w:hanging="202"/>
      </w:pPr>
      <w:rPr>
        <w:lang w:val="ru-RU" w:eastAsia="en-US" w:bidi="ar-SA"/>
      </w:rPr>
    </w:lvl>
    <w:lvl w:ilvl="6" w:tplc="C0FE53B6">
      <w:numFmt w:val="bullet"/>
      <w:lvlText w:val="•"/>
      <w:lvlJc w:val="left"/>
      <w:pPr>
        <w:ind w:left="7071" w:hanging="202"/>
      </w:pPr>
      <w:rPr>
        <w:lang w:val="ru-RU" w:eastAsia="en-US" w:bidi="ar-SA"/>
      </w:rPr>
    </w:lvl>
    <w:lvl w:ilvl="7" w:tplc="EE9EA934">
      <w:numFmt w:val="bullet"/>
      <w:lvlText w:val="•"/>
      <w:lvlJc w:val="left"/>
      <w:pPr>
        <w:ind w:left="8119" w:hanging="202"/>
      </w:pPr>
      <w:rPr>
        <w:lang w:val="ru-RU" w:eastAsia="en-US" w:bidi="ar-SA"/>
      </w:rPr>
    </w:lvl>
    <w:lvl w:ilvl="8" w:tplc="E1CE562A">
      <w:numFmt w:val="bullet"/>
      <w:lvlText w:val="•"/>
      <w:lvlJc w:val="left"/>
      <w:pPr>
        <w:ind w:left="9168" w:hanging="202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0"/>
    <w:rsid w:val="005E0B00"/>
    <w:rsid w:val="00EA138B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BC80"/>
  <w15:chartTrackingRefBased/>
  <w15:docId w15:val="{259C9DE9-BA95-4304-8266-FD9B63A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2024-01-04T09:09:00Z</dcterms:created>
  <dcterms:modified xsi:type="dcterms:W3CDTF">2024-01-04T09:11:00Z</dcterms:modified>
</cp:coreProperties>
</file>