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1212" w14:textId="77777777" w:rsidR="00CF0316" w:rsidRDefault="00CF0316" w:rsidP="00F10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397CF3" w:rsidRPr="00397CF3">
        <w:rPr>
          <w:rFonts w:ascii="Times New Roman" w:hAnsi="Times New Roman" w:cs="Times New Roman"/>
          <w:sz w:val="28"/>
          <w:szCs w:val="28"/>
        </w:rPr>
        <w:t xml:space="preserve"> лечени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97CF3" w:rsidRPr="00397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медикаментозного </w:t>
      </w:r>
      <w:r w:rsidR="00397CF3" w:rsidRPr="00397CF3">
        <w:rPr>
          <w:rFonts w:ascii="Times New Roman" w:hAnsi="Times New Roman" w:cs="Times New Roman"/>
          <w:sz w:val="28"/>
          <w:szCs w:val="28"/>
        </w:rPr>
        <w:t>поражени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7CF3" w:rsidRPr="00397CF3">
        <w:rPr>
          <w:rFonts w:ascii="Times New Roman" w:hAnsi="Times New Roman" w:cs="Times New Roman"/>
          <w:sz w:val="28"/>
          <w:szCs w:val="28"/>
        </w:rPr>
        <w:t xml:space="preserve"> печени </w:t>
      </w:r>
    </w:p>
    <w:p w14:paraId="708F9E53" w14:textId="77777777" w:rsidR="00CF0316" w:rsidRPr="00CF0316" w:rsidRDefault="00CF0316" w:rsidP="00CF0316">
      <w:pPr>
        <w:jc w:val="right"/>
        <w:rPr>
          <w:rFonts w:ascii="Calibri" w:eastAsia="Calibri" w:hAnsi="Calibri" w:cs="Times New Roman"/>
        </w:rPr>
      </w:pPr>
      <w:r w:rsidRPr="00CF03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Автор </w:t>
      </w:r>
      <w:proofErr w:type="spellStart"/>
      <w:proofErr w:type="gramStart"/>
      <w:r w:rsidRPr="00CF03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статьи:Магомедалиева</w:t>
      </w:r>
      <w:proofErr w:type="spellEnd"/>
      <w:proofErr w:type="gramEnd"/>
      <w:r w:rsidRPr="00CF03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Диана </w:t>
      </w:r>
      <w:proofErr w:type="spellStart"/>
      <w:r w:rsidRPr="00CF03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Гасановна</w:t>
      </w:r>
      <w:proofErr w:type="spellEnd"/>
      <w:r w:rsidRPr="00CF03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–студентка , Дагестанского Государственного медицинского университета, </w:t>
      </w:r>
      <w:proofErr w:type="spellStart"/>
      <w:r w:rsidRPr="00CF0316">
        <w:rPr>
          <w:rFonts w:ascii="Times New Roman" w:eastAsia="Calibri" w:hAnsi="Times New Roman" w:cs="Times New Roman"/>
          <w:color w:val="000000"/>
          <w:sz w:val="28"/>
          <w:szCs w:val="28"/>
        </w:rPr>
        <w:t>г.Махачкала</w:t>
      </w:r>
      <w:proofErr w:type="spellEnd"/>
    </w:p>
    <w:p w14:paraId="50B9C3B2" w14:textId="77777777" w:rsidR="00CF0316" w:rsidRPr="00CF0316" w:rsidRDefault="00CF0316" w:rsidP="00CF0316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157443534"/>
      <w:r w:rsidRPr="00CF0316">
        <w:rPr>
          <w:rFonts w:ascii="Calibri" w:eastAsia="Calibri" w:hAnsi="Calibri" w:cs="Times New Roman"/>
        </w:rPr>
        <w:t xml:space="preserve">                                                                                               </w:t>
      </w:r>
      <w:bookmarkStart w:id="1" w:name="_Hlk157443522"/>
      <w:proofErr w:type="gramStart"/>
      <w:r w:rsidRPr="00CF0316">
        <w:rPr>
          <w:rFonts w:ascii="Times New Roman" w:eastAsia="Calibri" w:hAnsi="Times New Roman" w:cs="Times New Roman"/>
          <w:color w:val="000000"/>
          <w:sz w:val="28"/>
          <w:szCs w:val="28"/>
        </w:rPr>
        <w:t>E-mail</w:t>
      </w:r>
      <w:bookmarkEnd w:id="0"/>
      <w:r w:rsidRPr="00CF031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bookmarkEnd w:id="1"/>
      <w:r w:rsidRPr="00CF0316">
        <w:rPr>
          <w:rFonts w:ascii="Times New Roman" w:eastAsia="Calibri" w:hAnsi="Times New Roman" w:cs="Times New Roman"/>
          <w:color w:val="000000"/>
          <w:sz w:val="28"/>
          <w:szCs w:val="28"/>
        </w:rPr>
        <w:t>magomedalieva.31d@gmail.com</w:t>
      </w:r>
      <w:proofErr w:type="gramEnd"/>
    </w:p>
    <w:p w14:paraId="757DC5C4" w14:textId="6F108C34" w:rsidR="00CF0316" w:rsidRDefault="00CF0316" w:rsidP="00F10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CF0316">
        <w:rPr>
          <w:rFonts w:ascii="Times New Roman" w:hAnsi="Times New Roman" w:cs="Times New Roman"/>
          <w:b/>
          <w:bCs/>
          <w:sz w:val="28"/>
          <w:szCs w:val="28"/>
        </w:rPr>
        <w:t>Горелова Виктория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0316">
        <w:rPr>
          <w:rFonts w:ascii="Times New Roman" w:hAnsi="Times New Roman" w:cs="Times New Roman"/>
          <w:sz w:val="28"/>
          <w:szCs w:val="28"/>
        </w:rPr>
        <w:t>к.м.н.</w:t>
      </w:r>
      <w:proofErr w:type="gramStart"/>
      <w:r w:rsidRPr="00CF0316">
        <w:rPr>
          <w:rFonts w:ascii="Times New Roman" w:hAnsi="Times New Roman" w:cs="Times New Roman"/>
          <w:sz w:val="28"/>
          <w:szCs w:val="28"/>
        </w:rPr>
        <w:t>,  доцент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Pr="00CF0316">
        <w:rPr>
          <w:rFonts w:ascii="Times New Roman" w:hAnsi="Times New Roman" w:cs="Times New Roman"/>
          <w:sz w:val="28"/>
          <w:szCs w:val="28"/>
        </w:rPr>
        <w:t>Патологической физиологии</w:t>
      </w:r>
    </w:p>
    <w:p w14:paraId="177EBC7E" w14:textId="1C20D536" w:rsidR="00CF0316" w:rsidRPr="00CF0316" w:rsidRDefault="00CF0316" w:rsidP="00CF03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03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E-mail</w:t>
      </w:r>
      <w:r w:rsidRPr="00CF031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F0316">
        <w:rPr>
          <w:rFonts w:ascii="Times New Roman" w:hAnsi="Times New Roman" w:cs="Times New Roman"/>
          <w:sz w:val="28"/>
          <w:szCs w:val="28"/>
          <w:lang w:val="en-US"/>
        </w:rPr>
        <w:t xml:space="preserve"> gorelovaalina@gmail.com</w:t>
      </w:r>
    </w:p>
    <w:p w14:paraId="6B1DA424" w14:textId="14F7093A" w:rsidR="001D2838" w:rsidRPr="001D2838" w:rsidRDefault="001D2838" w:rsidP="00CF03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Pr="001D2838">
        <w:rPr>
          <w:rFonts w:ascii="Times New Roman" w:hAnsi="Times New Roman" w:cs="Times New Roman"/>
          <w:sz w:val="28"/>
          <w:szCs w:val="28"/>
        </w:rPr>
        <w:t xml:space="preserve">В статье рассматриваются </w:t>
      </w:r>
      <w:proofErr w:type="gramStart"/>
      <w:r w:rsidRPr="001D2838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 формы</w:t>
      </w:r>
      <w:proofErr w:type="gramEnd"/>
      <w:r w:rsidRPr="001D2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лекарственного</w:t>
      </w:r>
      <w:r w:rsidRPr="00397CF3">
        <w:rPr>
          <w:rFonts w:ascii="Times New Roman" w:hAnsi="Times New Roman" w:cs="Times New Roman"/>
          <w:sz w:val="28"/>
          <w:szCs w:val="28"/>
        </w:rPr>
        <w:t xml:space="preserve"> поражения печени , начиная от легких биохимических аномалий и заканчивая острой печеночной недостаточностью</w:t>
      </w:r>
      <w:r>
        <w:rPr>
          <w:rFonts w:ascii="Times New Roman" w:hAnsi="Times New Roman" w:cs="Times New Roman"/>
          <w:sz w:val="28"/>
          <w:szCs w:val="28"/>
        </w:rPr>
        <w:t xml:space="preserve">. Также обращено внимание на те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препаратов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обладающие наибольшей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гепатотоксичностью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.И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принципов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лечения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медикаментозного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лечения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печени</w:t>
      </w: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6429AECA" w14:textId="5AD12AF7" w:rsidR="001D2838" w:rsidRPr="001D2838" w:rsidRDefault="001D2838" w:rsidP="00CF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Л</w:t>
      </w:r>
      <w:r w:rsidRPr="00397CF3">
        <w:rPr>
          <w:rFonts w:ascii="Times New Roman" w:hAnsi="Times New Roman" w:cs="Times New Roman"/>
          <w:sz w:val="28"/>
          <w:szCs w:val="28"/>
        </w:rPr>
        <w:t>екарственные поражения печени (ЛПП)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838">
        <w:rPr>
          <w:rFonts w:ascii="Times New Roman" w:hAnsi="Times New Roman" w:cs="Times New Roman"/>
          <w:sz w:val="28"/>
          <w:szCs w:val="28"/>
        </w:rPr>
        <w:t xml:space="preserve"> </w:t>
      </w:r>
      <w:r w:rsidRPr="00397CF3">
        <w:rPr>
          <w:rFonts w:ascii="Times New Roman" w:hAnsi="Times New Roman" w:cs="Times New Roman"/>
          <w:sz w:val="28"/>
          <w:szCs w:val="28"/>
        </w:rPr>
        <w:t>нестероидны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97CF3">
        <w:rPr>
          <w:rFonts w:ascii="Times New Roman" w:hAnsi="Times New Roman" w:cs="Times New Roman"/>
          <w:sz w:val="28"/>
          <w:szCs w:val="28"/>
        </w:rPr>
        <w:t>противовоспалительны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CF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НПВС),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гепатотоксичность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FAF30" w14:textId="617826FC" w:rsidR="001D2838" w:rsidRPr="001D2838" w:rsidRDefault="001D2838" w:rsidP="001D28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Abstract: The article discusses the main forms of drug-induced liver damage, ranging from mild biochemical abnormalities to acute liver failure. Attention is also drawn to those groups of drugs with the highest </w:t>
      </w:r>
      <w:proofErr w:type="gramStart"/>
      <w:r w:rsidRPr="001D2838">
        <w:rPr>
          <w:rFonts w:ascii="Times New Roman" w:hAnsi="Times New Roman" w:cs="Times New Roman"/>
          <w:sz w:val="28"/>
          <w:szCs w:val="28"/>
          <w:lang w:val="en-US"/>
        </w:rPr>
        <w:t>hepatotoxicity .And</w:t>
      </w:r>
      <w:proofErr w:type="gramEnd"/>
      <w:r w:rsidRPr="001D2838">
        <w:rPr>
          <w:rFonts w:ascii="Times New Roman" w:hAnsi="Times New Roman" w:cs="Times New Roman"/>
          <w:sz w:val="28"/>
          <w:szCs w:val="28"/>
          <w:lang w:val="en-US"/>
        </w:rPr>
        <w:t xml:space="preserve"> several principles of treatment of drug treatment of the liver have been proposed</w:t>
      </w:r>
    </w:p>
    <w:p w14:paraId="4069E453" w14:textId="498D714E" w:rsidR="00CF0316" w:rsidRPr="001D2838" w:rsidRDefault="00397CF3" w:rsidP="00F10456">
      <w:pPr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>Введение</w:t>
      </w:r>
    </w:p>
    <w:p w14:paraId="1907ED46" w14:textId="77777777" w:rsidR="00B37335" w:rsidRDefault="00397CF3" w:rsidP="00F10456">
      <w:pPr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 xml:space="preserve">В настоящее время лекарственное патология печени занимает 3-е место после вирусных и алкогольных поражений печени. Наиболее часто </w:t>
      </w:r>
      <w:bookmarkStart w:id="2" w:name="_Hlk157444134"/>
      <w:r w:rsidRPr="00397CF3">
        <w:rPr>
          <w:rFonts w:ascii="Times New Roman" w:hAnsi="Times New Roman" w:cs="Times New Roman"/>
          <w:sz w:val="28"/>
          <w:szCs w:val="28"/>
        </w:rPr>
        <w:t xml:space="preserve">лекарственные поражения печени (ЛПП) </w:t>
      </w:r>
      <w:bookmarkEnd w:id="2"/>
      <w:r w:rsidRPr="00397CF3">
        <w:rPr>
          <w:rFonts w:ascii="Times New Roman" w:hAnsi="Times New Roman" w:cs="Times New Roman"/>
          <w:sz w:val="28"/>
          <w:szCs w:val="28"/>
        </w:rPr>
        <w:t xml:space="preserve">связаны с противотуберкулезными, антибактериальными препаратами, анальгетиками, гормональными, цитостатическими, гипотензивными и антиаритмическими средствами. </w:t>
      </w:r>
      <w:r w:rsidR="00B37335" w:rsidRPr="00B37335">
        <w:rPr>
          <w:rFonts w:ascii="Times New Roman" w:hAnsi="Times New Roman" w:cs="Times New Roman"/>
          <w:sz w:val="28"/>
          <w:szCs w:val="28"/>
        </w:rPr>
        <w:t xml:space="preserve">Антибиотики и противосудорожные препараты представляются первопричинами больше 60% всех ЛПП. </w:t>
      </w:r>
      <w:r w:rsidRPr="00397CF3">
        <w:rPr>
          <w:rFonts w:ascii="Times New Roman" w:hAnsi="Times New Roman" w:cs="Times New Roman"/>
          <w:sz w:val="28"/>
          <w:szCs w:val="28"/>
        </w:rPr>
        <w:t xml:space="preserve">В период пандемии COVID-19 возросла доля антибактериальных и противовирусных препаратов, назначаемых врачами и приобретенных пациентами для профилактики и лечения этого заболевания. Это ведёт за собой рост случаев лекарственных поражений печени. </w:t>
      </w:r>
    </w:p>
    <w:p w14:paraId="34B375B1" w14:textId="69C3D67A" w:rsidR="00B37335" w:rsidRDefault="00397CF3" w:rsidP="00F10456">
      <w:pPr>
        <w:rPr>
          <w:rFonts w:ascii="Times New Roman" w:hAnsi="Times New Roman" w:cs="Times New Roman"/>
          <w:sz w:val="28"/>
          <w:szCs w:val="28"/>
        </w:rPr>
      </w:pPr>
      <w:r w:rsidRPr="00B3733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Цель.</w:t>
      </w:r>
      <w:r w:rsidRPr="00397CF3">
        <w:rPr>
          <w:rFonts w:ascii="Times New Roman" w:hAnsi="Times New Roman" w:cs="Times New Roman"/>
          <w:sz w:val="28"/>
          <w:szCs w:val="28"/>
        </w:rPr>
        <w:t xml:space="preserve"> Изучение патогенеза и клиники лекарственных поражений печени и особенностей медикаментозной терапии при различных вариантах ЛПП. </w:t>
      </w:r>
      <w:r w:rsidRPr="00397CF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Материалы и методы</w:t>
      </w:r>
      <w:r w:rsidRPr="00397CF3">
        <w:rPr>
          <w:rFonts w:ascii="Times New Roman" w:hAnsi="Times New Roman" w:cs="Times New Roman"/>
          <w:sz w:val="28"/>
          <w:szCs w:val="28"/>
        </w:rPr>
        <w:t xml:space="preserve">. Обзор литературы, посвященной проблеме ЛПП. </w:t>
      </w:r>
      <w:r w:rsidRPr="00B37335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и их обсуждение</w:t>
      </w:r>
      <w:r w:rsidRPr="00397C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C49BB2" w14:textId="70F4F8F4" w:rsidR="00B37335" w:rsidRDefault="00397CF3" w:rsidP="00F10456">
      <w:pPr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 xml:space="preserve">Антибиотики и противосудорожные препараты являются причинами более 60% всех ЛПП. Среди </w:t>
      </w:r>
      <w:bookmarkStart w:id="3" w:name="_Hlk157444162"/>
      <w:r w:rsidRPr="00397CF3">
        <w:rPr>
          <w:rFonts w:ascii="Times New Roman" w:hAnsi="Times New Roman" w:cs="Times New Roman"/>
          <w:sz w:val="28"/>
          <w:szCs w:val="28"/>
        </w:rPr>
        <w:t xml:space="preserve">нестероидных противовоспалительных средств </w:t>
      </w:r>
      <w:bookmarkEnd w:id="3"/>
      <w:r w:rsidRPr="00397CF3">
        <w:rPr>
          <w:rFonts w:ascii="Times New Roman" w:hAnsi="Times New Roman" w:cs="Times New Roman"/>
          <w:sz w:val="28"/>
          <w:szCs w:val="28"/>
        </w:rPr>
        <w:t xml:space="preserve">(НПВС) лидируют диклофенак и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нимесулид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, в группе антибиотиков- амоксициллина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клавуланат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>.</w:t>
      </w:r>
      <w:r w:rsidR="00B37335" w:rsidRPr="00B37335">
        <w:rPr>
          <w:rFonts w:ascii="Roboto" w:hAnsi="Roboto"/>
          <w:color w:val="000000"/>
          <w:shd w:val="clear" w:color="auto" w:fill="FFFFFF"/>
        </w:rPr>
        <w:t xml:space="preserve"> </w:t>
      </w:r>
      <w:r w:rsidR="00B37335">
        <w:rPr>
          <w:rFonts w:ascii="Roboto" w:hAnsi="Roboto"/>
          <w:color w:val="000000"/>
          <w:shd w:val="clear" w:color="auto" w:fill="FFFFFF"/>
        </w:rPr>
        <w:t xml:space="preserve">Среди </w:t>
      </w:r>
      <w:r w:rsidR="00B37335" w:rsidRPr="00B37335">
        <w:rPr>
          <w:rFonts w:ascii="Times New Roman" w:hAnsi="Times New Roman" w:cs="Times New Roman"/>
          <w:sz w:val="28"/>
          <w:szCs w:val="28"/>
        </w:rPr>
        <w:t xml:space="preserve">анальгетиков, нестероидных </w:t>
      </w:r>
      <w:proofErr w:type="spellStart"/>
      <w:r w:rsidR="00B3733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B37335">
        <w:rPr>
          <w:rFonts w:ascii="Times New Roman" w:hAnsi="Times New Roman" w:cs="Times New Roman"/>
          <w:sz w:val="28"/>
          <w:szCs w:val="28"/>
        </w:rPr>
        <w:t xml:space="preserve"> </w:t>
      </w:r>
      <w:r w:rsidR="00B37335" w:rsidRPr="00B37335">
        <w:rPr>
          <w:rFonts w:ascii="Times New Roman" w:hAnsi="Times New Roman" w:cs="Times New Roman"/>
          <w:sz w:val="28"/>
          <w:szCs w:val="28"/>
        </w:rPr>
        <w:t>восп</w:t>
      </w:r>
      <w:r w:rsidR="00B37335">
        <w:rPr>
          <w:rFonts w:ascii="Times New Roman" w:hAnsi="Times New Roman" w:cs="Times New Roman"/>
          <w:sz w:val="28"/>
          <w:szCs w:val="28"/>
        </w:rPr>
        <w:t>а</w:t>
      </w:r>
      <w:r w:rsidR="00B37335" w:rsidRPr="00B37335">
        <w:rPr>
          <w:rFonts w:ascii="Times New Roman" w:hAnsi="Times New Roman" w:cs="Times New Roman"/>
          <w:sz w:val="28"/>
          <w:szCs w:val="28"/>
        </w:rPr>
        <w:t xml:space="preserve">лительных препаратов в данном проекте первенствуют парацетамол, диклофенак и </w:t>
      </w:r>
      <w:proofErr w:type="spellStart"/>
      <w:r w:rsidR="00B37335" w:rsidRPr="00B37335">
        <w:rPr>
          <w:rFonts w:ascii="Times New Roman" w:hAnsi="Times New Roman" w:cs="Times New Roman"/>
          <w:sz w:val="28"/>
          <w:szCs w:val="28"/>
        </w:rPr>
        <w:t>нимесулид</w:t>
      </w:r>
      <w:proofErr w:type="spellEnd"/>
      <w:r w:rsidR="00B37335">
        <w:rPr>
          <w:rFonts w:ascii="Times New Roman" w:hAnsi="Times New Roman" w:cs="Times New Roman"/>
          <w:sz w:val="28"/>
          <w:szCs w:val="28"/>
        </w:rPr>
        <w:t>,</w:t>
      </w:r>
      <w:r w:rsidRPr="00397CF3">
        <w:rPr>
          <w:rFonts w:ascii="Times New Roman" w:hAnsi="Times New Roman" w:cs="Times New Roman"/>
          <w:sz w:val="28"/>
          <w:szCs w:val="28"/>
        </w:rPr>
        <w:t xml:space="preserve"> </w:t>
      </w:r>
      <w:r w:rsidR="00B37335" w:rsidRPr="00B37335">
        <w:rPr>
          <w:rFonts w:ascii="Times New Roman" w:hAnsi="Times New Roman" w:cs="Times New Roman"/>
          <w:sz w:val="28"/>
          <w:szCs w:val="28"/>
        </w:rPr>
        <w:t>среди противомикробных средств – амоксициллин</w:t>
      </w:r>
      <w:r w:rsidR="00CB1616">
        <w:rPr>
          <w:rFonts w:ascii="Times New Roman" w:hAnsi="Times New Roman" w:cs="Times New Roman"/>
          <w:sz w:val="28"/>
          <w:szCs w:val="28"/>
        </w:rPr>
        <w:t xml:space="preserve"> </w:t>
      </w:r>
      <w:r w:rsidR="00B37335" w:rsidRPr="00B37335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="00B37335" w:rsidRPr="00B37335">
        <w:rPr>
          <w:rFonts w:ascii="Times New Roman" w:hAnsi="Times New Roman" w:cs="Times New Roman"/>
          <w:sz w:val="28"/>
          <w:szCs w:val="28"/>
        </w:rPr>
        <w:t>клавулановая</w:t>
      </w:r>
      <w:proofErr w:type="spellEnd"/>
      <w:r w:rsidR="00B37335" w:rsidRPr="00B37335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CB16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BAB477" wp14:editId="07FB3B24">
            <wp:extent cx="5715000" cy="822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5A62C" w14:textId="77777777" w:rsidR="00CF0316" w:rsidRDefault="00397CF3" w:rsidP="00F10456">
      <w:pPr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 xml:space="preserve">Преимущественными гепатотоксическими эффекты ЛПП: некроз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, внутрипеченочный холестаз, холестатический гепатит и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lastRenderedPageBreak/>
        <w:t>стеатоз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. Диагноз ЛПП – диагноз исключения, необходима дифференциальная диагностика другой этиологии заболевания. Для определения причинно-следственной связи предложено использовать шкалу CIOMS/RUCAM. Интерпретация шкале RUCAM: ≥ 9 баллов – корреляция между подозреваемым лекарством (препаратами) и ЛПП «весьма вероятна», 6-8 баллов – связь «вероятна», 3-5 баллов – «возможна», 1-2 балла – связь «маловероятна», ≤0 – «исключение» возможности ЛПП при приеме данного ЛП. Первым шагом лечения всех форм ЛПП является немедленная отмена лекарственного препарата или уменьшение дозировки, если прекращение лечения не рекомендуется. Лечение пациентов с легкой и умеренной степенью тяжести ЛПП возможно в амбулаторных условиях. При наличии тяжелого ЛПП, с признаками печеночно-клеточной недостаточности и выраженной клинической симптоматикой рекомендуется госпитализация. Обо всех случаях тяжелого ЛПП должно сообщаться в центр трансплантации печени, так как своевременно выполненное оперативного вмешательства эффективно в 40% случаев. Медикаментозная терапия – ацетилцистеин служит единственным специфическим средством, обладающим эффективностью в лечении ЛПП, вызванного парацетамолом. Глюкокортикоиды являются рациональными для терапии иммунологически опосредованных ЛПП и АИГ-подобных ЛПП с аутоиммунными поражениям и обычно приводят к хорошему ответу с редким рецидивом поражения печени после отмены глюкокортикоидов.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Бициклол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может быть назначен в качестве профилактики и лечения ЛПП в дозе 25 мг 3 раза в сутки в течение 4-х недель и более, учитывая особенности клинической картины в конкретном случае.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Бициклол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используется в онкологической практике для профилактики побочных действий ПХТ (рекомендуемый режим: 25 мг 3 раза в сутки в течение курса ПХТ). Препараты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адеметионина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назначаются при внутрипеченочном холестазе, также могут быть использован у пациентов с ЛПП химиотерапевтическими средствами при наличии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цитолитического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Lкарнитин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используется при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вальпроат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-индуцированном ЛПП.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Холестирамин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94 используется при развитии ЛПП на прием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лефлуномида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, режим терапии составит среднем в течение 11 дней по 8 г, 3 раза в день. Препараты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урсодезоксихолевой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кислоты назначаются пациентам с холестатическим типом ЛПП. Рекомендуемый режим применения УДХК: 13-15 мг/кг массы тела в сутки в три приема. В случаях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полихимиотерапии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в онкологии для профилактики ЛПП рекомендуется применение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ремаксола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– 400 мл внутривенно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1 раз в сутки не менее 4 инфузий; для лечения ЛПП – 400 мл внутривенно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2 раза в сутки не менее четырех дней </w:t>
      </w:r>
      <w:r w:rsidRPr="00397CF3">
        <w:rPr>
          <w:rFonts w:ascii="Times New Roman" w:hAnsi="Times New Roman" w:cs="Times New Roman"/>
          <w:sz w:val="28"/>
          <w:szCs w:val="28"/>
        </w:rPr>
        <w:lastRenderedPageBreak/>
        <w:t xml:space="preserve">после каждого курса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полихимиотерапии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при различных формах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онкопроцесса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510BA1" w14:textId="3190FB71" w:rsidR="00C410AB" w:rsidRDefault="00397CF3" w:rsidP="00F10456">
      <w:pPr>
        <w:rPr>
          <w:rFonts w:ascii="Times New Roman" w:hAnsi="Times New Roman" w:cs="Times New Roman"/>
          <w:sz w:val="28"/>
          <w:szCs w:val="28"/>
        </w:rPr>
      </w:pPr>
      <w:r w:rsidRPr="00397CF3">
        <w:rPr>
          <w:rFonts w:ascii="Times New Roman" w:hAnsi="Times New Roman" w:cs="Times New Roman"/>
          <w:sz w:val="28"/>
          <w:szCs w:val="28"/>
        </w:rPr>
        <w:t xml:space="preserve">Выводы. Токсический гепатит или </w:t>
      </w:r>
      <w:bookmarkStart w:id="4" w:name="_Hlk157443850"/>
      <w:r w:rsidRPr="00397CF3">
        <w:rPr>
          <w:rFonts w:ascii="Times New Roman" w:hAnsi="Times New Roman" w:cs="Times New Roman"/>
          <w:sz w:val="28"/>
          <w:szCs w:val="28"/>
        </w:rPr>
        <w:t>медикаментозные поражения печени охватывает спектр клинических состояний, начиная от легких биохимических аномалий и заканчивая острой печеночной недостаточностью</w:t>
      </w:r>
      <w:bookmarkEnd w:id="4"/>
      <w:r w:rsidRPr="00397CF3">
        <w:rPr>
          <w:rFonts w:ascii="Times New Roman" w:hAnsi="Times New Roman" w:cs="Times New Roman"/>
          <w:sz w:val="28"/>
          <w:szCs w:val="28"/>
        </w:rPr>
        <w:t xml:space="preserve">. Необходимо соблюдать назначение препаратов в соответствии с показаниями в клинической ситуации при строгом соблюдении принципов совместимости и несовместимости лекарственных средств. Ограниченные знания о механизмах токсичности не дают полностью установить гепатотоксический потенциал во время доклинического развития. Необходимо повышать уровень грамотности специалистов и населения о возможности рисков ЛПП, о потенциальных возможностях </w:t>
      </w:r>
      <w:proofErr w:type="spellStart"/>
      <w:r w:rsidRPr="00397CF3">
        <w:rPr>
          <w:rFonts w:ascii="Times New Roman" w:hAnsi="Times New Roman" w:cs="Times New Roman"/>
          <w:sz w:val="28"/>
          <w:szCs w:val="28"/>
        </w:rPr>
        <w:t>гепатотоксичности</w:t>
      </w:r>
      <w:proofErr w:type="spellEnd"/>
      <w:r w:rsidRPr="00397CF3">
        <w:rPr>
          <w:rFonts w:ascii="Times New Roman" w:hAnsi="Times New Roman" w:cs="Times New Roman"/>
          <w:sz w:val="28"/>
          <w:szCs w:val="28"/>
        </w:rPr>
        <w:t xml:space="preserve"> в том числе растительных препаратов, БАДов, продуктов для здоровья и пр.</w:t>
      </w:r>
    </w:p>
    <w:p w14:paraId="220ADBCB" w14:textId="30D0BF84" w:rsidR="00A06C17" w:rsidRDefault="00A06C17" w:rsidP="00A0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литературы:</w:t>
      </w:r>
    </w:p>
    <w:p w14:paraId="076B65E5" w14:textId="3B9D2B49" w:rsidR="00A06C17" w:rsidRPr="00A06C17" w:rsidRDefault="00A06C17" w:rsidP="00A06C1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A2A13">
          <w:rPr>
            <w:rStyle w:val="a3"/>
            <w:rFonts w:ascii="Times New Roman" w:hAnsi="Times New Roman" w:cs="Times New Roman"/>
            <w:sz w:val="28"/>
            <w:szCs w:val="28"/>
          </w:rPr>
          <w:t>http://disuria.ru/_ld/12/1223_kr22K71MZ.pdf</w:t>
        </w:r>
      </w:hyperlink>
      <w:r w:rsidRPr="00A06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A5634" w14:textId="4C30F4B6" w:rsidR="00A06C17" w:rsidRDefault="00A06C17" w:rsidP="00A06C1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A2A13">
          <w:rPr>
            <w:rStyle w:val="a3"/>
            <w:rFonts w:ascii="Times New Roman" w:hAnsi="Times New Roman" w:cs="Times New Roman"/>
            <w:sz w:val="28"/>
            <w:szCs w:val="28"/>
          </w:rPr>
          <w:t>https://www.rnmot.ru/public/uploads/RNMOT/clinical/2019/КЛИНИЧЕСКИЕ%20РЕКОМЕНДАЦИИ.%20ЛЕКАРСТВЕННЫЕ%20ПОРАЖЕНИЯ%20ПЕЧЕНИ.pdf</w:t>
        </w:r>
      </w:hyperlink>
    </w:p>
    <w:p w14:paraId="0BB3B92C" w14:textId="311BD785" w:rsidR="00A06C17" w:rsidRDefault="00A06C17" w:rsidP="00A06C1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A2A13">
          <w:rPr>
            <w:rStyle w:val="a3"/>
            <w:rFonts w:ascii="Times New Roman" w:hAnsi="Times New Roman" w:cs="Times New Roman"/>
            <w:sz w:val="28"/>
            <w:szCs w:val="28"/>
          </w:rPr>
          <w:t>https://gastroe.ru/poleznaya-informatsya/for_doctors/klinicheskie-rekomendacii-bolezni-zhkt/bolezni-pecheni-zhelchnogo-puzyrya/easl-po-lekarstvennomu-porazheniyu-pecheni-2019/</w:t>
        </w:r>
      </w:hyperlink>
    </w:p>
    <w:p w14:paraId="130A1F2B" w14:textId="26F1EFEE" w:rsidR="00A06C17" w:rsidRDefault="00A06C17" w:rsidP="00A06C1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A2A13">
          <w:rPr>
            <w:rStyle w:val="a3"/>
            <w:rFonts w:ascii="Times New Roman" w:hAnsi="Times New Roman" w:cs="Times New Roman"/>
            <w:sz w:val="28"/>
            <w:szCs w:val="28"/>
          </w:rPr>
          <w:t>https://therapy-journal.ru/ru/archive/article/40377</w:t>
        </w:r>
      </w:hyperlink>
    </w:p>
    <w:p w14:paraId="6C0A57E7" w14:textId="77777777" w:rsidR="00A06C17" w:rsidRPr="00A06C17" w:rsidRDefault="00A06C17" w:rsidP="00A06C1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sectPr w:rsidR="00A06C17" w:rsidRPr="00A06C17" w:rsidSect="00E2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5C17"/>
    <w:multiLevelType w:val="hybridMultilevel"/>
    <w:tmpl w:val="E9BEC140"/>
    <w:lvl w:ilvl="0" w:tplc="B45A6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CA9"/>
    <w:multiLevelType w:val="hybridMultilevel"/>
    <w:tmpl w:val="1FC6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C49E7"/>
    <w:multiLevelType w:val="hybridMultilevel"/>
    <w:tmpl w:val="B93A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77D45"/>
    <w:multiLevelType w:val="hybridMultilevel"/>
    <w:tmpl w:val="4C4C6A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67225D"/>
    <w:multiLevelType w:val="hybridMultilevel"/>
    <w:tmpl w:val="FE48CA5A"/>
    <w:lvl w:ilvl="0" w:tplc="68781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47"/>
    <w:rsid w:val="00035266"/>
    <w:rsid w:val="00075D66"/>
    <w:rsid w:val="00086926"/>
    <w:rsid w:val="000A119F"/>
    <w:rsid w:val="000B3FD6"/>
    <w:rsid w:val="000F5437"/>
    <w:rsid w:val="001100F3"/>
    <w:rsid w:val="00112169"/>
    <w:rsid w:val="001142A8"/>
    <w:rsid w:val="001B6702"/>
    <w:rsid w:val="001D2838"/>
    <w:rsid w:val="001F0BB4"/>
    <w:rsid w:val="001F3CE4"/>
    <w:rsid w:val="00213DED"/>
    <w:rsid w:val="00232CB1"/>
    <w:rsid w:val="00241C01"/>
    <w:rsid w:val="00263744"/>
    <w:rsid w:val="00277279"/>
    <w:rsid w:val="00285CF2"/>
    <w:rsid w:val="002939BB"/>
    <w:rsid w:val="002A2128"/>
    <w:rsid w:val="002C771B"/>
    <w:rsid w:val="003741C8"/>
    <w:rsid w:val="00397CF3"/>
    <w:rsid w:val="003D44D4"/>
    <w:rsid w:val="00405BD7"/>
    <w:rsid w:val="00433D6B"/>
    <w:rsid w:val="0046265B"/>
    <w:rsid w:val="0048376C"/>
    <w:rsid w:val="004A3F72"/>
    <w:rsid w:val="004B0B56"/>
    <w:rsid w:val="004D09C8"/>
    <w:rsid w:val="005105FC"/>
    <w:rsid w:val="00517234"/>
    <w:rsid w:val="00520D69"/>
    <w:rsid w:val="00524B6B"/>
    <w:rsid w:val="00545F04"/>
    <w:rsid w:val="00567BE8"/>
    <w:rsid w:val="005909C4"/>
    <w:rsid w:val="005A113B"/>
    <w:rsid w:val="005A2F67"/>
    <w:rsid w:val="005B7541"/>
    <w:rsid w:val="005E79BE"/>
    <w:rsid w:val="00633ABE"/>
    <w:rsid w:val="00653BB2"/>
    <w:rsid w:val="006C0E3D"/>
    <w:rsid w:val="006F4061"/>
    <w:rsid w:val="00714975"/>
    <w:rsid w:val="0071566A"/>
    <w:rsid w:val="007220E3"/>
    <w:rsid w:val="00751AF4"/>
    <w:rsid w:val="00761D44"/>
    <w:rsid w:val="007677AE"/>
    <w:rsid w:val="007768C6"/>
    <w:rsid w:val="0078189F"/>
    <w:rsid w:val="00783DDE"/>
    <w:rsid w:val="007A4D72"/>
    <w:rsid w:val="007A5363"/>
    <w:rsid w:val="007E545F"/>
    <w:rsid w:val="00851376"/>
    <w:rsid w:val="00866C57"/>
    <w:rsid w:val="008912EC"/>
    <w:rsid w:val="008A5033"/>
    <w:rsid w:val="008C5108"/>
    <w:rsid w:val="008E758B"/>
    <w:rsid w:val="00901AF3"/>
    <w:rsid w:val="00912221"/>
    <w:rsid w:val="009707FC"/>
    <w:rsid w:val="00977BB0"/>
    <w:rsid w:val="00992DC6"/>
    <w:rsid w:val="00A06C17"/>
    <w:rsid w:val="00A16F62"/>
    <w:rsid w:val="00A27099"/>
    <w:rsid w:val="00A97235"/>
    <w:rsid w:val="00AE259C"/>
    <w:rsid w:val="00B0616D"/>
    <w:rsid w:val="00B37335"/>
    <w:rsid w:val="00B77370"/>
    <w:rsid w:val="00B97CC8"/>
    <w:rsid w:val="00BC0107"/>
    <w:rsid w:val="00BF7B0F"/>
    <w:rsid w:val="00C37C47"/>
    <w:rsid w:val="00C410AB"/>
    <w:rsid w:val="00C424D0"/>
    <w:rsid w:val="00C50C76"/>
    <w:rsid w:val="00C75BBB"/>
    <w:rsid w:val="00C93169"/>
    <w:rsid w:val="00CA384B"/>
    <w:rsid w:val="00CB1616"/>
    <w:rsid w:val="00CE2395"/>
    <w:rsid w:val="00CF0316"/>
    <w:rsid w:val="00CF1520"/>
    <w:rsid w:val="00D046EB"/>
    <w:rsid w:val="00D34CA9"/>
    <w:rsid w:val="00D65E18"/>
    <w:rsid w:val="00D74E4E"/>
    <w:rsid w:val="00D806FA"/>
    <w:rsid w:val="00DA00E8"/>
    <w:rsid w:val="00DA4860"/>
    <w:rsid w:val="00DC2CD1"/>
    <w:rsid w:val="00DD1D60"/>
    <w:rsid w:val="00DF1F62"/>
    <w:rsid w:val="00E1736D"/>
    <w:rsid w:val="00E200FD"/>
    <w:rsid w:val="00E36B7C"/>
    <w:rsid w:val="00E41FC7"/>
    <w:rsid w:val="00E72DF2"/>
    <w:rsid w:val="00E7470F"/>
    <w:rsid w:val="00EA53F4"/>
    <w:rsid w:val="00EB470A"/>
    <w:rsid w:val="00EB50C8"/>
    <w:rsid w:val="00EC2CD4"/>
    <w:rsid w:val="00ED0AF3"/>
    <w:rsid w:val="00EF70CD"/>
    <w:rsid w:val="00F02D13"/>
    <w:rsid w:val="00F07EF1"/>
    <w:rsid w:val="00F10456"/>
    <w:rsid w:val="00F33313"/>
    <w:rsid w:val="00F75302"/>
    <w:rsid w:val="00F83ABE"/>
    <w:rsid w:val="00FC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9E1"/>
  <w15:docId w15:val="{FFC3F6E4-6DCA-4604-BACA-303742CA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E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1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F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1376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33D6B"/>
    <w:pPr>
      <w:spacing w:after="0" w:line="240" w:lineRule="auto"/>
    </w:pPr>
  </w:style>
  <w:style w:type="character" w:customStyle="1" w:styleId="word">
    <w:name w:val="word"/>
    <w:basedOn w:val="a0"/>
    <w:rsid w:val="00075D66"/>
  </w:style>
  <w:style w:type="character" w:customStyle="1" w:styleId="highlight">
    <w:name w:val="highlight"/>
    <w:basedOn w:val="a0"/>
    <w:rsid w:val="00075D66"/>
  </w:style>
  <w:style w:type="character" w:customStyle="1" w:styleId="resulthover">
    <w:name w:val="result_hover"/>
    <w:basedOn w:val="a0"/>
    <w:rsid w:val="00075D66"/>
  </w:style>
  <w:style w:type="character" w:styleId="a8">
    <w:name w:val="Unresolved Mention"/>
    <w:basedOn w:val="a0"/>
    <w:uiPriority w:val="99"/>
    <w:semiHidden/>
    <w:unhideWhenUsed/>
    <w:rsid w:val="00CB1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5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5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mot.ru/public/uploads/RNMOT/clinical/2019/&#1050;&#1051;&#1048;&#1053;&#1048;&#1063;&#1045;&#1057;&#1050;&#1048;&#1045;%20&#1056;&#1045;&#1050;&#1054;&#1052;&#1045;&#1053;&#1044;&#1040;&#1062;&#1048;&#1048;.%20&#1051;&#1045;&#1050;&#1040;&#1056;&#1057;&#1058;&#1042;&#1045;&#1053;&#1053;&#1067;&#1045;%20&#1055;&#1054;&#1056;&#1040;&#1046;&#1045;&#1053;&#1048;&#1071;%20&#1055;&#1045;&#1063;&#1045;&#1053;&#1048;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disuria.ru/_ld/12/1223_kr22K71MZ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herapy-journal.ru/ru/archive/article/40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stroe.ru/poleznaya-informatsya/for_doctors/klinicheskie-rekomendacii-bolezni-zhkt/bolezni-pecheni-zhelchnogo-puzyrya/easl-po-lekarstvennomu-porazheniyu-pecheni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8D26-827D-4019-A3E9-D47F463C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Диана Магомедалиева</cp:lastModifiedBy>
  <cp:revision>4</cp:revision>
  <dcterms:created xsi:type="dcterms:W3CDTF">2024-01-29T14:59:00Z</dcterms:created>
  <dcterms:modified xsi:type="dcterms:W3CDTF">2024-01-29T15:10:00Z</dcterms:modified>
</cp:coreProperties>
</file>