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«ДЕТСКИЙ САД «СОЛНЫШКО» Г. НАДЫМА»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  <w:pBdr>
          <w:bottom w:val="single" w:color="000000" w:sz="12" w:space="2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(МДОУ «ДЕТСКИЙ САД «СОЛНЫШКО» Г. НАДЫМА»)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629730, Российская Федерация, Ямало-Ненецкий автономный округ, г. Надым, ул. Строителей, д. 7А,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E-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: </w:t>
      </w:r>
      <w:hyperlink r:id="rId9" w:tooltip="mailto:dssolnyshko@nadym.yanao.ru" w:history="1">
        <w:r>
          <w:rPr>
            <w:rFonts w:ascii="Times New Roman" w:hAnsi="Times New Roman" w:eastAsia="Times New Roman" w:cs="Times New Roman"/>
            <w:color w:val="0000ff"/>
            <w:sz w:val="20"/>
            <w:szCs w:val="20"/>
            <w:u w:val="single"/>
            <w:lang w:eastAsia="ru-RU"/>
          </w:rPr>
          <w:t xml:space="preserve">dssolnyshko@nadym.yanao.ru</w:t>
        </w:r>
      </w:hyperlink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, тел. 532666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ОГРН 1178901001290, ИНН/КПП 8903035545 / 890301001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lang w:eastAsia="ru-RU"/>
        </w:rPr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left="294"/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Семинар на тему: «Учу учиться»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left="294"/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«Реализация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ситем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но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-деятельностного подхода в обучении дошкольников».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lang w:eastAsia="ru-RU"/>
        </w:rPr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 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                           Разработчик: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Ахмадиева Альбина Мансафовна,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                          воспитатель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Надым 2024г.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lang w:eastAsia="ru-RU"/>
        </w:rPr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left="294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Деятельностный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подход –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то  подход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 организации процесса обучения, в котором на первый план выходит проблема самоопределения ученика в учебном процессе.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left="294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Целью деятельностного подхода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является воспитание личности ребенка как субъекта жизнедеятельности.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left="294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Быть субъектом –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быть хозяином своей деятельности: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1"/>
        </w:numPr>
        <w:ind w:left="1156"/>
        <w:jc w:val="both"/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Ставить цели,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1"/>
        </w:numPr>
        <w:ind w:left="1156"/>
        <w:jc w:val="both"/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Решать задачи,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1"/>
        </w:numPr>
        <w:ind w:left="1156"/>
        <w:jc w:val="both"/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Отвечать за результаты.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дошкольное образование возлагаются особые надежды, потому что везде в мире признано, что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дошкольный возраст это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золотой возраст развития личности и что именно те навыки, те основы деятельности, которые закладываются в этом возрасте, остаются с ребенком, с человеком на всю жизнь.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Система дошкольного образования на современном этапе развития претерпевает серьезные изменения, связанные с обновлением нормативно-правов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ого обеспечения функционирования дошкольных организаций, введением федерального государственного образовательного стандарта (ФГОС) дошкольного образования, признание дошкольного образования как первой ступени образования в системе непрерывного образования.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ФГОС – это смена образовательной цели. Вместо передачи суммы знаний – развитие личности воспитанника на основе освоения способов деятельности.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Развитие ребенка происходит в деятельности. Никакое воспитывающее и обучающее влияние ребенка не может осуществляться без реальной деятельности его самого.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Особую роль ФГОС ДО отводят игре. Это ведущая деятельность ребенка. В игре он гармонично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развивается,  познает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весь опыт человеческой культуры - взаимоотношения между взрослыми людьми – в семье, в профессиональной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деятельности и др. А для того, чтобы 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ебенку было комфортно, интересно, чтобы он без труда мог включиться в любую деятельность – будь то игра, проектирование или любое художественное творчество – необходима соответствующая развивающая среда. Все что окружает ребенка - помогает ему развиваться.</w:t>
      </w:r>
      <w:r>
        <w:rPr>
          <w:rFonts w:ascii="Calibri" w:hAnsi="Calibri" w:eastAsia="Times New Roman" w:cs="Calibri"/>
          <w:color w:val="000000"/>
          <w:lang w:eastAsia="ru-RU"/>
        </w:rPr>
        <w:t xml:space="preserve"> 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Роль педагога в осуществления системно-деятельностного подхода велика,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т.к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именно педагог явл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яется ключевой фигурой в образовательном процессе. В процессе реализации системно-деятельностного подхода в образовании формирование личности ребенка и продвижение его в развитии осуществляется не тогда, когда он воспринимает знания в готовом виде, а в про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цессе его собственной деятельности, направленной на «открытие нового знания». Принцип деятельности выделяет ребенка как деятеля в образовательном процессе, а педагогу отводится роль организатора и управленца этого процесса. Трудно переоценить роль деятельн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ости педагога, ее влияние на процесс становления и развития личности ребенка. Здесь важно все: и отказ от авторитарного стиля общения в пользу демократического, и личные качества учителя, и способность к саморазвитию, и его профессиональная компетентность.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Ребенок не должен быть пассивным слушателем, воспр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собственной деятельности. Таким образом, образовательная деятельность, 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так же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игра, выступают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 Поэтому важен системно-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деятельностный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подход в дошкольном образовании. Системно-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деятельностный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подход помогает детям самим открывать новые знания, выстраивать их в систему, применять на практике.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Методологические подходы к организации занятий с детьми: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Ребенок занимает активную позицию на занятии: он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то слушающий, то - наблюдающий, то – действующий;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Во время образовательной деятельности главенствует дух открытия;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Обязательны смена мизансцен и движение;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Очередной вид деятельности следует начинать с постановки задачи в общем виде;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Не принимать ответы детей без обоснования их мнения и не оставлять без внимания ни одного ответа;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Отказаться от судейской роли: когда ребенок говорит, он обращается к детям, а не к воспитателю;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Учить детей видеть возможность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многовариативности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выполнения заданий; - Статистическая поза ребенка не должна превышать 50% времени всего занятия;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В процессе руководства детской деятельностью приемлем лишь демократический стиль общения;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Необходимо поддерживать у детей ощущение успешности.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Итак, золотые правила деятельностного подхода: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Подари ребенку радость творчества, осознание авторского голоса;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Веди  ребенка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от собственного опыта к общественному;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Будь не «НАД», а «РЯДОМ»;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Радуйся вопросу, но отвечать не спеши;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Учи анализировать каждый этап работы;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numPr>
          <w:ilvl w:val="0"/>
          <w:numId w:val="2"/>
        </w:numPr>
        <w:spacing w:before="30" w:after="3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Стимулируй активность ребенка.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подготовительной группе проводилось открытое мероприятие образовательной деятельности в режимных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моментах  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Космическая станция «Дружные ребята». Во время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мероприятия  использовались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различные виды детской деятельности: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познавательско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-исследовательская, коммутативная, продуктивная, игровая, двигательная, восприятие художественной литературы, музыкальная.</w:t>
      </w:r>
      <w:r>
        <w:rPr>
          <w:rFonts w:ascii="Calibri" w:hAnsi="Calibri" w:eastAsia="Times New Roman" w:cs="Calibri"/>
          <w:color w:val="000000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dssolnyshko@nadym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7</dc:creator>
  <cp:keywords/>
  <dc:description/>
  <cp:revision>4</cp:revision>
  <dcterms:created xsi:type="dcterms:W3CDTF">2022-04-27T08:35:00Z</dcterms:created>
  <dcterms:modified xsi:type="dcterms:W3CDTF">2024-01-31T10:38:56Z</dcterms:modified>
</cp:coreProperties>
</file>