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МУНИЦИПАЛЬНОЕ  БЮДЖЕТНОЕ  УЧРЕЖДЕНИЕ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«ДЕТСКАЯ  ШКОЛА  ИСКУССТВ №1 г.НАДЫМА»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МЕТОДИЧЕСКАЯ  РАЗРАБОТКА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«ЖАНР  ИНСТРУМЕНТАЛЬНОЙ  МИНИАТЮРЫ   КОМПОЗИТОРОВ  БАЯНИСТОВ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XX-XXI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в.ОСОБЕННОСТИ  РАБОТЫ  В  КЛАССЕ  АККОРДЕОНА»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righ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Автор-составитель: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преподаватель по  классу  аккордеон                   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высшей  квалификационной  категории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righ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Басница  Елена  Владимировна,  (педагогический  стаж  25  лет)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            г.Надым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                                Ямало-Ненецкий  автономный  округ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left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            2024г.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 Содержание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.Введение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II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.Актуальность  и  значимость  темы   методической  разработки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цели  и  задачи)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III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 Жанр  инструментальной  миниатюры.Бытование  и  интерпретация  жанра.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    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Исполнительский  анализ (полезная  шпаргалка с  планом  и  примерами)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2.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От  поколения  к  поколению. ( Н.Я.Чайкин «Детский  альбом»)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    3.Зарисовки  современных  композиторов (А.Нижник «25 историй»)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IV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.Роль  преподавателя  в  формировании  навыков  анализа  и  интерпретации  музыкальных  миниатюр.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V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.Список литературы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eastAsia="Times New Roman" w:cs="Times New Roman"/>
          <w:bCs/>
          <w:i/>
          <w:color w:val="auto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Музыка — одно из самых впечатляющих явлений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в мире.</w:t>
      </w:r>
      <w:r>
        <w:rPr>
          <w:rFonts w:ascii="Times New Roman" w:hAnsi="Times New Roman" w:eastAsia="Times New Roman" w:cs="Times New Roman"/>
          <w:bCs/>
          <w:i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Cs/>
          <w:i/>
          <w:color w:val="auto"/>
          <w:sz w:val="24"/>
          <w:szCs w:val="24"/>
          <w:highlight w:val="none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Она может натолкнуть вас на какие-то мысли,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заставить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плакать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и смеяться, мысленно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вернуться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в далекие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воспоминания, придать сил, даже влюбиться.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auto"/>
          <w:sz w:val="24"/>
          <w:szCs w:val="24"/>
        </w:rPr>
        <w:t xml:space="preserve">Ф. Болл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.Введение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Процесс раз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вития музыки для аккордеона был сопряжён с множеством факторов, влияющих на формирование репертуара.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истории отечественной музыкальной культуры русское народно-инструментальное искусство занимает особое место. Зародившись и получив  широкое распространение в народных массах, баян  и  аккордеон сегодня  органично вошли  в музыкальный быт и в профессиональн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ую  исполнительскую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Каждый этап в 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звитии баяна  и  аккордеона  привносил что-то  свежее и оригинальное в образный строй, в особенности фактуры, в  использование новых приемов для достижения новых выразительных  эффектов, в структуру музыкального языка произведений. За прошедшие  десятилети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накоплен большой репертуар, включающий сочинения высоких  художественных достоинств, мастерски написанные и разнообразные по  формам и жанрам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. Создание  оригинального  репертуара  несомненно  соответствует  эстетическим  и  художественным  нормам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en-US"/>
        </w:rPr>
        <w:t xml:space="preserve">XX-XXI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  <w:t xml:space="preserve">вв.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.Актуальность  и  значимость  темы   методической  разработки.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 xml:space="preserve">привлечь внимание педагогов отделения народных инструментов детских музыкальных школ  и  школ искусств к творчеству современных композиторов,сочиняющих для детей; авторов инструментальных миниатюр  и жанровых зарисов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 xml:space="preserve">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,а  также  посредством  данного  жанра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формировать  репертуар в классе аккордеона.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Задачи: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изучить жанр  инструментальной  миниатюры,</w:t>
      </w:r>
      <w:r>
        <w:rPr>
          <w:rFonts w:ascii="Times New Roman" w:hAnsi="Times New Roman" w:cs="Times New Roman"/>
          <w:highlight w:val="none"/>
          <w14:ligatures w14:val="none"/>
        </w:rPr>
      </w:r>
      <w:r>
        <w:rPr>
          <w:rFonts w:ascii="Times New Roman" w:hAnsi="Times New Roman" w:cs="Times New Roman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- научиться   грамотно  анализировать  и  разбирать  музыкальные  произведения</w:t>
      </w:r>
      <w:r>
        <w:rPr>
          <w:rFonts w:ascii="Times New Roman" w:hAnsi="Times New Roman" w:cs="Times New Roman"/>
          <w14:ligatures w14:val="none"/>
        </w:rPr>
        <w:t xml:space="preserve">,</w:t>
      </w:r>
      <w:r>
        <w:rPr>
          <w:rFonts w:ascii="Times New Roman" w:hAnsi="Times New Roman" w:cs="Times New Roman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воссоздавать  и  наиболее полно раскрывать замысел композитора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-учитывать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мелодии  музыкального произведения, ладового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гармонического строения, формы, фактуры и других средств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выразительности,</w:t>
      </w:r>
      <w:r>
        <w:rPr>
          <w:rFonts w:ascii="Times New Roman" w:hAnsi="Times New Roman" w:cs="Times New Roman"/>
          <w14:ligatures w14:val="none"/>
        </w:rPr>
      </w:r>
      <w:r>
        <w:rPr>
          <w:rFonts w:ascii="Times New Roman" w:hAnsi="Times New Roman" w:cs="Times New Roman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активизировать образно-эмоциональную сферу,</w:t>
      </w: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-совершенствовать  навыки  сочетания образно-эмоционального и  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логически   смыслового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восприятия. 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Актуальность  и  значимость темы  данной  методической  разработки  базируется  на  её  практической  значимости: 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Style w:val="880"/>
        <w:numPr>
          <w:ilvl w:val="0"/>
          <w:numId w:val="9"/>
        </w:num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потребность общества в развитии  нравственных, эстетических качеств личности человека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, посредством  изучения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 музыкальны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х  произведений отечественных композиторов 20-21вв.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r>
    </w:p>
    <w:p>
      <w:pPr>
        <w:pStyle w:val="880"/>
        <w:numPr>
          <w:ilvl w:val="0"/>
          <w:numId w:val="9"/>
        </w:num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расширение  репертуарного  списка  аккордеонистов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r>
    </w:p>
    <w:p>
      <w:pPr>
        <w:pStyle w:val="880"/>
        <w:numPr>
          <w:ilvl w:val="0"/>
          <w:numId w:val="8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раскрытии у  начинающих  музыкантов  творческих способностей, что способствует общему  развитию; умственных способностей, психически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процессов - мышления,  памяти, внимания, слухового восприятия, ассоциативной фантазии, развития  мелкой моторики, двигательной реакции, что очень важно для дальнейшего  обучения.</w:t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III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. Жанр  инструментальной  миниатюры.Бытование  и  интерпретация  жанра.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Миниатюра - особое искусство. За короткое время музыкант должен проявить себя предельно искренним и убедительным для того, чтобы слушатель успел дойти до самой сути, понять замысел творца. Ограничившись строгим, взятым, впрочем, по прихоти автора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временным интервалом в 1,2,3  минуты. </w:t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Инструментальная миниатюра прошла большой путь развития и в XX  веке является одним из самых востребованных жанров современного  музыкального творчества.  В современной инструментальной миниатюре отражаются пути развития  музыкального искусства второй поло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вины XX – начала XXI вв.: его  основные идеи, стилевые направления, техники композиции.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Сохраняя жанровые признаки,  инструментальная миниатюра одновременно становится полем  художественного эксперимента в композиторском творчестве в области  тематики, формообразования, драматургии, расширения тембровых  возможностей.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Рассматривая наиболее общие пути развития жанра в отечественной  музыке, можно отметить, что в различные периоды жанр миниатюры  развивался не одинаково. Так, в 1950-60е годы XX века значительную  часть жанровой тематики представляют обработки народных мел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одий,  музыкальные картины, сочинения, связанные с литературной  программностью. В начале 70-х годов всё активнее сближаются серьёзная  и популярная музыка, и это объяснимо: два таких мощных потока, как  эстрада, джаз, с одной стороны, и «академическая» му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зыка, с другой, не  могут существовать только параллельно, нигде не пересекаясь.  1970-80-е годы характеризуются уменьшением фольклорных образцов,  заметным расширением жанра мемориала. 1990-годы и начало XXI 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олетия  отмечены возросшим интересом авторов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духовной сфере, жанру  мемориала и постлюдии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наиболее востребованным областям современной программной  миниатюры относится сфера детской музыки. Практически все композиторы  уделяют в своем творчестве место для детской странички.</w:t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14:ligatures w14:val="none"/>
        </w:rPr>
        <w:t xml:space="preserve">Опираясь  на  своей  многолетний  педагогический  опыт, хочу  пожелать   молодым  специалистам  не  бояться  экспериментировать  и  включать  в  репертуарный  список, как  пьесы  известных  композиторов  баянной  школы, так  и  современных.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 w:val="0"/>
          <w:bCs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/>
          <w:b w:val="0"/>
          <w:bCs/>
          <w:i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/>
          <w:i/>
          <w:color w:val="000000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  <w:t xml:space="preserve">1.Исполнительский  анализ  инструментальных  миниатюр (полезная  шпаргалка с  планом  и  примерами)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 любом музыкальном произведении композитор создает какой-то образ, хочет выразить и  донести до слушателя определенные эмоции. Делает он  это с помощью средств музыкальной выразительности.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обы  ученик максимально точно смог передать авторский замысел, ему нужно очень хорошо понимать, что хотел сказать композитор. 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Работа  в  классе  аккордеона  построена  на  изучении  разнообразного  материала  и  очень  важно  научить  ребят  грамотно  разбирать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музыкальные  произведения.Несомненно, относиться  к этому нужно не  как к нудной работе, а как к увлека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тельному исследованию.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62913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96546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3" cy="6291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67.75pt;height:495.38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Давайте  рассмотрим 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хему   анализа   музыкального   произведения: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1.Композитор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2.Название (если есть)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3.Годы создания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4.Музыкальный образ (лирический, драматический, эпический, образы любви, мира, войны, природы, добра, счастья и т.д., о чем или о ком идет речь в произведении)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5.Характер, настроение (задумчивый, спокойный, созерцательный, встревоженный и т.п.)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6.Музыкальный жанр: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вокальные: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песня, ария, романс, элегия, баллада, серенада, баркарола, вокализ, гимн, ода и т.д.;</w:t>
        <w:br/>
        <w:t xml:space="preserve"> —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инструментальные: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пьеса, этюд, прелюдия, песня без слов, юмореска, рондо, токката, соната, ноктюрн, сюита;</w:t>
        <w:br/>
        <w:t xml:space="preserve"> —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симфонические: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увертюра, концерт, симфоническая сюита, симфоническая поэма;</w:t>
        <w:br/>
        <w:t xml:space="preserve"> —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музыкально-сценические жанры: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опера, балет, оперетта, мюзикл.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7.Средства музыкальной выразительности: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 лад и тональность</w:t>
        <w:br/>
        <w:t xml:space="preserve"> — </w:t>
      </w:r>
      <w:r>
        <w:t xml:space="preserve">мелодия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  <w:t xml:space="preserve"> — гармония</w:t>
        <w:br/>
        <w:t xml:space="preserve"> — метр и ритм</w:t>
        <w:br/>
        <w:t xml:space="preserve"> — темп</w:t>
        <w:br/>
        <w:t xml:space="preserve"> — регистр</w:t>
        <w:br/>
        <w:t xml:space="preserve"> — динамика</w:t>
        <w:br/>
        <w:t xml:space="preserve"> — штрихи</w:t>
        <w:br/>
        <w:t xml:space="preserve"> — тембр</w:t>
        <w:br/>
        <w:t xml:space="preserve"> — фактура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Музыкальная форма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9.Тематическое развитие.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  <w:u w:val="single"/>
          <w:lang w:val="ru-RU"/>
        </w:rPr>
        <w:t xml:space="preserve">2.От  поколения  к  поколению. ( Н.Я.Чайкин «Детский  альбом»)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Следующий  раздел  разработки  «От  поколения  к  поколению» посвящаю  известному баянисту-композитору  и  педагогу  Николаю Чайкину  и   современному  композитору-новат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ору  Артему  Нижн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ик. Творческая  судьба Н.Я.Чайкина тесно  связана  с  развитием  и  становлением  баянной  музыки  и  профессионального  исполнительства  на  народных  инструментах, Артем  Нижник  известен  как, исполнитель-баянист, композитор, кандидат  искусствоведения.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 w:val="0"/>
          <w:bCs/>
          <w:i/>
          <w:highlight w:val="none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Несомненно,  основой  для  начинающих  баянистов  и  аккордеонистов  является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«Детский альбом»  Н.Я. Чайкина. Детский  альбом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представляет собой своеобразную «Школу игры на баяне», где без лишних слов, только языком музыки, в сконцентрированной форме представлен большой объем информации, необходимой для развития и становления юного баяниста-музыканта. Альбом сост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оит из сорока пьес (инструмен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тальных  миниатюр), первые из которых посвящены, в основном, раскрытию узко специфических задач в работе с начинающими: звукоизвлечение, динамика, мелодия и аккомпанемент, элементы полифонии и других проблем. В дальнейшем задачи усложняются, трудность испо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лнения пьес возрастает, они включают в себя уже комплекс знаний и умений,  приобретенных в работе над предыдущим материалом.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В  своей  методической  разработке, хотелось  поделиться  опытом  работы  над  несколькими, наиболее  полюбившимися, пьесами  из  «Детского  альбома»  Н.Я.Чайкина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«Серенада»,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«Вальс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», «Рондо», а  также над музыкальными  зарисовками  современного  композитора-баяниста  А.Нижник  -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Пьеса 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  том, когда  всё  хорошо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об  ужасно  храбром  рыжем  котёнке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 и  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  паровозике  до  станции  «Летняя»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/>
          <w:i/>
          <w:highlight w:val="none"/>
          <w:u w:val="single"/>
        </w:rPr>
      </w:r>
      <w:r>
        <w:rPr>
          <w:rFonts w:ascii="Times New Roman" w:hAnsi="Times New Roman" w:cs="Times New Roman"/>
          <w:b w:val="0"/>
          <w:bCs/>
          <w:i/>
          <w:highlight w:val="none"/>
          <w:u w:val="singl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-Н.Я.Чайкин  </w:t>
      </w:r>
      <w:r>
        <w:rPr>
          <w:rFonts w:ascii="Times New Roman" w:hAnsi="Times New Roman" w:cs="Times New Roman"/>
          <w:sz w:val="24"/>
          <w:szCs w:val="24"/>
        </w:rPr>
        <w:t xml:space="preserve">«Детский  альбом»,год  издания 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Пьеса  «Серенада»</w:t>
      </w:r>
      <w:r>
        <w:rPr>
          <w:rFonts w:ascii="Times New Roman" w:hAnsi="Times New Roman" w:cs="Times New Roman"/>
          <w:sz w:val="24"/>
          <w:szCs w:val="24"/>
        </w:rPr>
        <w:t xml:space="preserve"> (уровень сложности 2-3 класс)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Серенада  в  переводе  с  лат.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Sera(hora)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- поздний (час).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Слово  серенада  означает – пение  на  открытом  воздухе,вечером  или  ночью (в  поздний час). Раньше  серенады  распевали  под  окнами  возлюбленных  дам  под  аккомпанемент щипковых  инструментов (лютни, мандолины, гитары).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Музыкальный  жанр –вокальный (инструментальная  пьеса  миниатюра)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Характер  музыки 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спокойный, задумчивый.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Написана  пьеса  в  тональности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a-moll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(ля-минор)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Размер  6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/8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(сложный  трехдольный  размер). Хочется  напомнить, что  данный  размер  характерен  для  лирической  музыки.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Пьеса  звучит  в  умеренном  темпе.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Tempo  comodo, cantabile.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Фактура – одноголосная  мелодия.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Форма  простая  репризная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ABA 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(3  периода).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3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Тематическое  развитие  построено  следующим  образом 1 и 3  период  минорная  тональность,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2  период  серенады  звучит  в  тональности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C-dur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(до-мажор) – настроение  меняется, мелодия  звучит  более  трепетно  и  взволнованно.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Кульминация   –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D7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 (изучение  терминологии   фермата, динамические  нюансы  «филировка  звука»)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Изучая  эту  пьесу стоит  уделить  особое  внимание  меховедению  и  фразировке.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Н.Я.Чайкин  </w:t>
      </w:r>
      <w:r>
        <w:rPr>
          <w:rFonts w:ascii="Times New Roman" w:hAnsi="Times New Roman" w:cs="Times New Roman"/>
          <w:sz w:val="24"/>
          <w:szCs w:val="24"/>
        </w:rPr>
        <w:t xml:space="preserve">«Детский  альбом»,год  издания 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Пьеса  «Вальс»</w:t>
      </w:r>
      <w:r>
        <w:rPr>
          <w:rFonts w:ascii="Times New Roman" w:hAnsi="Times New Roman" w:cs="Times New Roman"/>
          <w:sz w:val="24"/>
          <w:szCs w:val="24"/>
        </w:rPr>
        <w:t xml:space="preserve"> (уровень сложности 3-4 класс)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Вальс (фр.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valse) –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общее  название  бальных, социальных  и  народных  танцев  музыкального  размера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3/4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Данный  вальс  написан  в  традициях  домашнего  музицирования – с  простой  напевной  и  немного  игривой  мелодией  и  характерным  вальсовым  аккомпанементом (бас-два  легких  аккорда)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Музыкальный  жанр – инструментальна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я  пьеса</w:t>
      </w:r>
      <w:r>
        <w:rPr>
          <w:rFonts w:ascii="Times New Roman" w:hAnsi="Times New Roman" w:eastAsia="Times New Roman" w:cs="Times New Roman"/>
        </w:rPr>
        <w:t xml:space="preserve"> миниатюра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Образ – бытовой  народный  танец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Хочется  отметить, что  для  русских  компози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торов  вальс   – это  не  только  танец, но  и способ  передачи  различных  чувств  и  настроений.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Николай  Чайкин  в 1 части  вальса  обратился  к  задумчиво-мечтательным  интонациям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, а  в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trio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   – к  светлым  и  жизнерадостным.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Вальс  написан  в  тональности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d-moll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(ре-минор)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Темп  сдержанный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Sostenuto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Мелодия  вальса  простая, одноголосная.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Форма сложная  3-частная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A Trio A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Style w:val="880"/>
        <w:numPr>
          <w:ilvl w:val="0"/>
          <w:numId w:val="15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Trio 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написан  в  одноименной  тональности, происходит  смена  настроения, смена  фактуры. Динамический  план  более  яркий  и  насыщенный.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Н.Я.Чайкин  </w:t>
      </w:r>
      <w:r>
        <w:rPr>
          <w:rFonts w:ascii="Times New Roman" w:hAnsi="Times New Roman" w:cs="Times New Roman"/>
          <w:sz w:val="24"/>
          <w:szCs w:val="24"/>
        </w:rPr>
        <w:t xml:space="preserve">«Детский  альбом»,год  издания 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Пьеса  «Рондо»</w:t>
      </w:r>
      <w:r>
        <w:rPr>
          <w:rFonts w:ascii="Times New Roman" w:hAnsi="Times New Roman" w:cs="Times New Roman"/>
          <w:sz w:val="24"/>
          <w:szCs w:val="24"/>
        </w:rPr>
        <w:t xml:space="preserve"> (уровень сложности  5-7 класс)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Это  пьеса  представляет собой  зарисовку  сельского  праздника. Любители  русского  фольклора  обязательно  услышат  интонации  русской  хороводной  песни, наигрыши  жалейки  и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рожка.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Инструментальная  пьеса (написана  для  баяна-аккордеона)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Характер  звучания  жизнерадостный, задорный,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собранный, отчетливый (звучит  массовый  подвижный  танец)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Тематика  рондо  близка  к  песенно-танцевальному  жанру  музыки.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Форма -   рондо. А+В+А+С+А. Главная  партия(рефрен) повторяется не  менее  трех  раз, а  между  её  проведениями  звучат  эпизоды иного  содержания (контрастные).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Главная  партия (рефрен)  звучит  в  тональности  ре-минор.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Мелодическая  линия  рефрена  построена  на  чередовании  шестнадцатых  и  восьмых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Темп  исполнения  быстрый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80"/>
        <w:numPr>
          <w:ilvl w:val="0"/>
          <w:numId w:val="16"/>
        </w:num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Тематическое  развитие: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рефрен –главная  тема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насыщена акцентами  в  аккомпанементе  в  каждой  фразе ( это  опорные  моменты  танцора).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Первый  эпизод  написан  в  Ля-мажоре. Особое  внимание  стоит  обратить  на  штрихи, указанные  автором. Чередование  штрихов подчеркивает  танцевальный  характер.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Главная  партия (рефрен) повторяется  без  изменений.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Вт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орой  эпизо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д  звучит  более  распевно и  напоминает  лирический  протяжный  хоровод. В  партии  правой  руки  русская  песня, а  в  левой- синкопированный  ритм  танца. Данный  эпизод  заканчивается  замедлением, что  также  явно  выраженно  динамическими  оттенками.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Главная  партия  звучит  третий  раз особенно ярко, наполнена  энергией  и внутренним движением  аккомпанемента. Рефрен   написан  в  первоначальном  темпе, возвращая  нас  к  образу  народного  гулянья.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  помощью  динамических  оттенков  и  повторяющих  мотивов  автор  рисует  нам  картинку  завершения  праздника  и  ухода  танцующих.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Cs/>
          <w:i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bCs/>
          <w:i/>
          <w:color w:val="000000" w:themeColor="text1"/>
          <w:highlight w:val="none"/>
        </w:rPr>
      </w:r>
      <w:r>
        <w:rPr>
          <w:rFonts w:ascii="Times New Roman" w:hAnsi="Times New Roman" w:cs="Times New Roman"/>
          <w:bCs/>
          <w:i/>
          <w:color w:val="000000" w:themeColor="text1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  <w:t xml:space="preserve">3.Зарисовки  современных  композиторов (А.Нижник «25  маленьких историй»)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Сборник пьес «25  маленьких  историй» это  учебное  пособие  для    баянистов  и  аккордеонистов  средних  и  старших  классов  ДМШ  и  ДШИ. Цикл  историй  состоит  из  маленьких разнообразных  миниатюр, которые  наполнены  сказочны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ми, юмористическими  и  пейзажными  образами. Основываясь  на  работе  с  учениками  и  общении  с  коллегами-педагогами,композитор  попытался  воплотить  в  данном  цикле всё то, что  всегда  и  во  все  времена  вызывает  живой  отклик  в  душе  ребёнка.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Bdr/>
        <w:spacing/>
        <w:ind w:firstLine="0" w:left="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-Артем  Нижник «25  маленьких  историй», год  издания 2021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</w:p>
    <w:p>
      <w:pPr>
        <w:pBdr/>
        <w:spacing/>
        <w:ind w:firstLine="0"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  Пьеса 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  том, когда  всё  хорошо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Музыкальный  образ  доброй, светлой  истории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Музыкальный  жанр -пьеса  миниатюра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Характер  радостный,жизнеутверждающий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Темп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Vivo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, относится  к  быстрым  темпам, тем  самым  подтверждает  задумку  автора  играть  стремительно, оживленно,бодро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Тональный  план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C-dur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Фактура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простая  одноголосная  мелодия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Мелодическая  линия  построена  на  секвенциях  и  повторяющихся  восходящих  и  нисходящих  мотивах.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Сочетание  разнообразных  штрихов (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legato-staccato)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в  одном  мотиве,является  одним  из  главных  приемов  автора  в  этой  пьесе. Автор  разнообразил  штрихи  и  создал  образ  шуточки.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Форма простая  одночастная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19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Первое  проведение  темы  насыщенно  синкопированным  аккомпанементом, смена  гармонии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  динамического  плана  рисует  некую  загадочность  образа.Прислушиваясь  к  интонациям, можно  отметить  мотивы  повествования  и  пофантазировать,  создавая таинственный-волшебный  образ. Репризное  проведение  темы звучит  ярко (динамический  оттенок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f)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, аккомпанемент  записан  шестнадцатыми  длительностями – музыка  звучит  уверенно, полетно,стремительно,радостно.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 - Артем  Нижник «25  маленьких  историй», год  издания 2021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Пьеса 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об  ужасно  храбром  рыжем  котёнке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  <w14:ligatures w14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Музыкальный  образ  сказочный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Музыкальный  жанр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– инструментальная  пьеса  миниатюра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Характер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 задорный, игривый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Темп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All giocoso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 (Быстро, весело,игриво)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Тональный  план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F-dur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Мелодическая  линия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-главная  тема  миниатюры  синкопированная  одноголосная  мелодия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Форма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 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-частная  расширенная  за счет  дополнительного  периода, с  небольшой  кодой 41-44 такт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Обязательно  в  этой  пьесе  необходимо  обратить  внимание  учащихся  на  интонации. Интонации – основа  музыки, их  нужно  уметь  слышать  и  воспроизводить.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0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Анализ  пьесы:  вступление  представляет  собой  яркое  аккордовое  начало  истории. Вступление  звучит  на  одном  дыхании (мех  работает  натянуто-акцентированно)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 w:firstLine="0" w:left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Тема  истории  звучит   игриво  и  развивается  динамически. Штрих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stacc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ato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и  акценты, являются  основными  в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данной   пьесе  и  ярко  подчёркивают  музыкальный  образ. Во  втором  периоде  истории  автор  использует «мяукающие» интонации, которые  дополняет  разнообразными  штрихами, частой  сменой меха  и  голосом. Динамический  план  очень  насыщен. Сочетание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sp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pui f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  учит  образно  мыслить  и  посредством  выразительной  игры   ярче  и  убедительнее  воспроизводить  образ  котенка-разбойника, который  хотел  передать  композитор.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  <w:t xml:space="preserve">-Артем  Нижник «25  маленьких  историй», год  издания 2021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История  о  паровозике  до  станции  «Летняя»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14:ligatures w14:val="none"/>
        </w:rPr>
      </w:r>
    </w:p>
    <w:p>
      <w:pPr>
        <w:pStyle w:val="880"/>
        <w:numPr>
          <w:ilvl w:val="0"/>
          <w:numId w:val="22"/>
        </w:numPr>
        <w:pBdr/>
        <w:spacing/>
        <w:ind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А вот, Вы могли бы написать какую-нибудь новую историю, чтобы в ней были шестнадцатые ноты? Чтоб вот так вот было: «вжух-вжух!!!» (что в переводе, очевидно, означает — очень быстро)?» — это у меня дети спрашивают, которые играют другие «истории».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Композитор ответственно заявляет: «Да, мы можем! Не проблема!».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И поэтому, специально для вас история о паровозике, который в конце учебного года отвозит всех детей в мире на станцию «Летняя».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Все  истории  композитора  имеют  яркие  образные  названия,которые  понятны  и  легко  передаются  с  помощью  музыкальных  средств  выразительности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Музыкальный  жанр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– инструментальная  пьеса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Характер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мечтательный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Темп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 подвижный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и  стремительный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Тональный  план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G-dur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e-moll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Фактура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простая  одноголосная  мелодия  и  вариация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Размер  пьесы  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/8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 (пульс  в  данном  размере  шагает  восьмушками)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Мелодия  словно  рассказывает  историю и  радуется  приближению теплого  времени  года (присутствуют  скачки, смена  восьмых  длительностей  на  шестнадцатые,напоминает   ускорение  поезда)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80"/>
        <w:numPr>
          <w:ilvl w:val="0"/>
          <w:numId w:val="21"/>
        </w:numPr>
        <w:pBdr/>
        <w:spacing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Форма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простая  двухчастная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ABA (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с  небольшой  каденцией  39-41такт)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Bdr/>
        <w:spacing/>
        <w:ind w:firstLine="0" w:left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Первое  проведение  темы автор  разнообразил  штрихами (очень  много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stacc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.),смена  тональности  –смена  настроения  истории.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 w:firstLine="0" w:left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Пьеса  насыщена   разнообразными  приемами (тремоло меха, разнообразие  динамического  плана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sf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piu f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crecs.dim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.)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 w:firstLine="0" w:left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За  повторением  мы  слышим  главную  тему с  гармоническим  наполнением  в  правой  руке, которая  заканчивается  нисходящим  ходом  в  басовом  ключе. Каденция   - автентический  оборот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доминанта - тоника. Яркая  динамика, тремоло  меха  и  развернутое  мажорное  тоническое  трезвучие  на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en-US"/>
        </w:rPr>
        <w:t xml:space="preserve">sf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, является  жизнерадостным  финалом  данной  миниатюры.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IV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.Роль  преподавателя  в  формировании  навыков  анализа  и  интерпретации  музыкальных  миниатюр.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Опираясь на опыт ведущих педагогов, хочу обратиться к некоторым высказываниям, основанных на их практической деятельности.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Г. Нейгауз отмечал: «…Учитель игры на любом инструменте… должен быть, прежде всего, учителем музыки, то есть ее разъяснителем и толкователем. Особенно это необходимо на низших ступенях развития учащегося: тут же совершенно неизбежен комплексный метод препо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давания, то есть учитель… должен быть одновременно и историком музыки, и теоретиком, и учителем сольфеджио… и игры на фортепиано».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Несомненно,  в  работе  над  формированием  и  совершенствованием  навыков  анализа  и  разбора  музыкальных  произведений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позиция педагога может заключаться в том, чтобы не давать приказаний ученику, а всегда стараться дать указания двух типов, из которых ученик мог бы выбрать необходимое сам, самостоятельно. Такой подход не только разовьет его творческие способности, увеличи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эффективность переноса опыта, но и будет отвечать задачам пробуждения активной творческой позиции, умению выбирать наиболее органичное решение, соответствующее индивидуальности ученика. При этом педагог должен умело показывать ученику так же те крайние 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очки, те границы, за которыми кончается зона верного смысла, верного движения. Зная эти пограничные координаты решения, мозг сам наиболее эффективно найдет искомую «золотую середину», приобретя при этом неоценимый опыт, лежащий в основе самостоятельности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ействия.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Индивидуальный подход к каждому ученику предполагает выстраивание педагогом методических принципов в соответствии с возрастом учащегося, его индивидуальным особенностям его психофизиологического склада, его темперамента.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ипы последовательности, наглядности, доступности подразумевают такую подачу материала, при которой у ученика, воспринимающего музыкальный  материал, задействованы почти все органы чувств, а движение в осознании идет от конкретики и чувственности к абстракц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 и логике.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Сотворчество педагога и ученика в работе над художественной интерпретацией музыкальных сочинений - необходимое условие для развития художественно-образного мышления учащегос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я.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14:ligatures w14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С. Е. Фейнберг писал: «Нотный текст — богатство, завещанное композитором, а его исполнительские указания — сопроводительное письмо к завещанию». Как известно в музыкальное произведение включает не только нотный текст, но и смысловой подтекст, воплощающий 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ригинальную творческую идею композитора. Проявляя творческую инициативу при исполнении музыкального произведения всегда нужно учитывать заложенный в произведении замысел автора, в то же время, понимая, что индивидуальная трактовка произведения выводит испо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лнительскую деятельность на новый творческий уровень, любое исполнение произведения считается субъективным и представляет собой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его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интерпретацию. </w:t>
      </w:r>
      <w:r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цитата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 Кайргазин, А. Е. Интерпретация как основа исполнительской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деятельности педагога-музыканта / А. Е. Кайргазин. — Текст : непосредственный // Молодой ученый. — 2022. — № 24 (419). — С. 361-363. — URL: https://moluch.ru/archive/419/93228/ )</w:t>
      </w:r>
      <w:r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z w:val="24"/>
          <w:szCs w:val="24"/>
          <w:highlight w:val="white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en-US"/>
          <w14:ligatures w14:val="none"/>
        </w:rPr>
        <w:t xml:space="preserve">V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  <w:t xml:space="preserve">. Список  литературы.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</w:p>
    <w:p>
      <w:pPr>
        <w:pStyle w:val="879"/>
        <w:pBdr/>
        <w:spacing/>
        <w:ind w:firstLine="0" w:left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1.А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лексеев А. Интерпретация, как творчество (о методологии анализа проблемы: музыковедческий и педагогический аспекты). // Музыкальное образование в контексте культуры: вопросы теории, истории, методологии. Сборник статей. Вып. 1. / Сост. А. Алексеев – М., 199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4.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2.Кирнарская Д. Музыкальные способности. – М., 2004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3.Крунтяева, Т. Словарь иностранных музыкальных терминов / Т. Крунтяева, Н. Молокова.- М.: Музыка, 2004.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4.Крюкова В.В. Музыкальная педагогика.-Ростов-на-Дону: Феникс, 2002.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5.Мазель Л. Строение музыкальных произведений : учебное пособие для музыкальных вузов. - Изд. 3-е. - Москва : Музыка, 1986.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6.Михеева  Л.. Музыкальный словарь в рассказах. Всесоюзное издательство Советский композитор,1984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7.Нижник А. 25 маленьких историй (баян,аккордеон) Учебное пособие.- Спб.:Композитор,2022.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8.Петрушин В. Музыкальная психология. – М., 1997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9.Чайкин  Н.Я.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Детский альбом 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  <w:t xml:space="preserve">пьесы для баяна и аккордеона.- М.:Музыка,1983.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</w:p>
    <w:p>
      <w:pPr>
        <w:pStyle w:val="879"/>
        <w:pBdr/>
        <w:spacing/>
        <w:ind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jc w:val="both"/>
        <w:rPr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14:ligatures w14:val="none"/>
        </w:rPr>
      </w:r>
      <w:r/>
    </w:p>
    <w:p>
      <w:pPr>
        <w:pBdr/>
        <w:spacing/>
        <w:ind/>
        <w:jc w:val="both"/>
        <w:rPr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14:ligatures w14:val="none"/>
        </w:rPr>
      </w:r>
      <w:r/>
    </w:p>
    <w:p>
      <w:pPr>
        <w:pBdr/>
        <w:spacing/>
        <w:ind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14:ligatures w14:val="none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abstractNum w:abstractNumId="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abstractNum w:abstractNumId="3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  <w:color w:val="000000"/>
        <w:sz w:val="24"/>
      </w:rPr>
      <w:start w:val="1"/>
      <w:suff w:val="tab"/>
    </w:lvl>
  </w:abstractNum>
  <w:abstractNum w:abstractNumId="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2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3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14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9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0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6"/>
    <w:next w:val="876"/>
    <w:link w:val="70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02">
    <w:name w:val="Heading 2"/>
    <w:basedOn w:val="876"/>
    <w:next w:val="876"/>
    <w:link w:val="70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04">
    <w:name w:val="Heading 3"/>
    <w:basedOn w:val="876"/>
    <w:next w:val="876"/>
    <w:link w:val="70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06">
    <w:name w:val="Heading 4"/>
    <w:basedOn w:val="876"/>
    <w:next w:val="876"/>
    <w:link w:val="70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6"/>
    <w:next w:val="876"/>
    <w:link w:val="70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6"/>
    <w:next w:val="876"/>
    <w:link w:val="71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6"/>
    <w:next w:val="876"/>
    <w:link w:val="71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6"/>
    <w:next w:val="876"/>
    <w:link w:val="71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6"/>
    <w:next w:val="876"/>
    <w:link w:val="71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18">
    <w:name w:val="Title"/>
    <w:basedOn w:val="876"/>
    <w:next w:val="876"/>
    <w:link w:val="71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19">
    <w:name w:val="Title Char"/>
    <w:link w:val="718"/>
    <w:uiPriority w:val="10"/>
    <w:pPr>
      <w:pBdr/>
      <w:spacing/>
      <w:ind/>
    </w:pPr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21">
    <w:name w:val="Subtitle Char"/>
    <w:link w:val="720"/>
    <w:uiPriority w:val="11"/>
    <w:pPr>
      <w:pBdr/>
      <w:spacing/>
      <w:ind/>
    </w:pPr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pBdr/>
      <w:spacing/>
      <w:ind w:right="720" w:left="720"/>
    </w:pPr>
    <w:rPr>
      <w:i/>
    </w:rPr>
  </w:style>
  <w:style w:type="character" w:styleId="723">
    <w:name w:val="Quote Char"/>
    <w:link w:val="722"/>
    <w:uiPriority w:val="29"/>
    <w:pPr>
      <w:pBdr/>
      <w:spacing/>
      <w:ind/>
    </w:pPr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25">
    <w:name w:val="Intense Quote Char"/>
    <w:link w:val="724"/>
    <w:uiPriority w:val="30"/>
    <w:pPr>
      <w:pBdr/>
      <w:spacing/>
      <w:ind/>
    </w:pPr>
    <w:rPr>
      <w:i/>
    </w:rPr>
  </w:style>
  <w:style w:type="paragraph" w:styleId="726">
    <w:name w:val="Header"/>
    <w:basedOn w:val="876"/>
    <w:link w:val="72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7">
    <w:name w:val="Header Char"/>
    <w:link w:val="726"/>
    <w:uiPriority w:val="99"/>
    <w:pPr>
      <w:pBdr/>
      <w:spacing/>
      <w:ind/>
    </w:pPr>
  </w:style>
  <w:style w:type="paragraph" w:styleId="728">
    <w:name w:val="Footer"/>
    <w:basedOn w:val="876"/>
    <w:link w:val="73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9">
    <w:name w:val="Footer Char"/>
    <w:link w:val="728"/>
    <w:uiPriority w:val="99"/>
    <w:pPr>
      <w:pBdr/>
      <w:spacing/>
      <w:ind/>
    </w:pPr>
  </w:style>
  <w:style w:type="paragraph" w:styleId="730">
    <w:name w:val="Caption"/>
    <w:basedOn w:val="876"/>
    <w:next w:val="87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  <w:pPr>
      <w:pBdr/>
      <w:spacing/>
      <w:ind/>
    </w:pPr>
  </w:style>
  <w:style w:type="table" w:styleId="732">
    <w:name w:val="Table Grid"/>
    <w:basedOn w:val="877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Table Grid Light"/>
    <w:basedOn w:val="87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Plain Table 1"/>
    <w:basedOn w:val="87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Plain Table 2"/>
    <w:basedOn w:val="87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Plain Table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Plain Table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Plain Table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1 Light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1 Light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1 Light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1 Light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1 Light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1 Light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1 Light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2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2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2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2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2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2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3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3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3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3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3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3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4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4 - Accent 1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4 - Accent 2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4 - Accent 3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4 - Accent 4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4 - Accent 5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4 - Accent 6"/>
    <w:basedOn w:val="87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5 Dark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5 Dark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5 Dark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5 Dark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5 Dark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5 Dark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5 Dark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6 Colorful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6 Colorful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6 Colorful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6 Colorful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6 Colorful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6 Colorful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6 Colorful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7 Colorful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7 Colorful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7 Colorful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7 Colorful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7 Colorful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7 Colorful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7 Colorful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1 Light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1 Light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1 Light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1 Light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1 Light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1 Light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1 Light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2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2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2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2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2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2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3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3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3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3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3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3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4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4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4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4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4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4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5 Dark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5 Dark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5 Dark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5 Dark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5 Dark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5 Dark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5 Dark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6 Colorful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6 Colorful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6 Colorful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6 Colorful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6 Colorful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6 Colorful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6 Colorful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7 Colorful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7 Colorful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7 Colorful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7 Colorful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7 Colorful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7 Colorful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7 Colorful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ned - Accent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ned - Accent 1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ned - Accent 2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ned - Accent 3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ned - Accent 4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ned - Accent 5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ned - Accent 6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Bordered &amp; Lined - Accent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Bordered &amp; Lined - Accent 1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Bordered &amp; Lined - Accent 2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Bordered &amp; Lined - Accent 3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Bordered &amp; Lined - Accent 4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Bordered &amp; Lined - Accent 5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Bordered &amp; Lined - Accent 6"/>
    <w:basedOn w:val="87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Bordered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Bordered - Accent 1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Bordered - Accent 2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Bordered - Accent 3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Bordered - Accent 4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Bordered - Accent 5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Bordered - Accent 6"/>
    <w:basedOn w:val="87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60">
    <w:name w:val="Footnote Text Char"/>
    <w:link w:val="859"/>
    <w:uiPriority w:val="99"/>
    <w:pPr>
      <w:pBdr/>
      <w:spacing/>
      <w:ind/>
    </w:pPr>
    <w:rPr>
      <w:sz w:val="18"/>
    </w:rPr>
  </w:style>
  <w:style w:type="character" w:styleId="861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63">
    <w:name w:val="Endnote Text Char"/>
    <w:link w:val="862"/>
    <w:uiPriority w:val="99"/>
    <w:pPr>
      <w:pBdr/>
      <w:spacing/>
      <w:ind/>
    </w:pPr>
    <w:rPr>
      <w:sz w:val="20"/>
    </w:rPr>
  </w:style>
  <w:style w:type="character" w:styleId="864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pBdr/>
      <w:spacing w:after="57"/>
      <w:ind w:right="0" w:firstLine="0" w:left="0"/>
    </w:pPr>
  </w:style>
  <w:style w:type="paragraph" w:styleId="866">
    <w:name w:val="toc 2"/>
    <w:basedOn w:val="876"/>
    <w:next w:val="876"/>
    <w:uiPriority w:val="39"/>
    <w:unhideWhenUsed/>
    <w:pPr>
      <w:pBdr/>
      <w:spacing w:after="57"/>
      <w:ind w:right="0" w:firstLine="0" w:left="283"/>
    </w:pPr>
  </w:style>
  <w:style w:type="paragraph" w:styleId="867">
    <w:name w:val="toc 3"/>
    <w:basedOn w:val="876"/>
    <w:next w:val="876"/>
    <w:uiPriority w:val="39"/>
    <w:unhideWhenUsed/>
    <w:pPr>
      <w:pBdr/>
      <w:spacing w:after="57"/>
      <w:ind w:right="0" w:firstLine="0" w:left="567"/>
    </w:pPr>
  </w:style>
  <w:style w:type="paragraph" w:styleId="868">
    <w:name w:val="toc 4"/>
    <w:basedOn w:val="876"/>
    <w:next w:val="876"/>
    <w:uiPriority w:val="39"/>
    <w:unhideWhenUsed/>
    <w:pPr>
      <w:pBdr/>
      <w:spacing w:after="57"/>
      <w:ind w:right="0" w:firstLine="0" w:left="850"/>
    </w:pPr>
  </w:style>
  <w:style w:type="paragraph" w:styleId="869">
    <w:name w:val="toc 5"/>
    <w:basedOn w:val="876"/>
    <w:next w:val="876"/>
    <w:uiPriority w:val="39"/>
    <w:unhideWhenUsed/>
    <w:pPr>
      <w:pBdr/>
      <w:spacing w:after="57"/>
      <w:ind w:right="0" w:firstLine="0" w:left="1134"/>
    </w:pPr>
  </w:style>
  <w:style w:type="paragraph" w:styleId="870">
    <w:name w:val="toc 6"/>
    <w:basedOn w:val="876"/>
    <w:next w:val="876"/>
    <w:uiPriority w:val="39"/>
    <w:unhideWhenUsed/>
    <w:pPr>
      <w:pBdr/>
      <w:spacing w:after="57"/>
      <w:ind w:right="0" w:firstLine="0" w:left="1417"/>
    </w:pPr>
  </w:style>
  <w:style w:type="paragraph" w:styleId="871">
    <w:name w:val="toc 7"/>
    <w:basedOn w:val="876"/>
    <w:next w:val="876"/>
    <w:uiPriority w:val="39"/>
    <w:unhideWhenUsed/>
    <w:pPr>
      <w:pBdr/>
      <w:spacing w:after="57"/>
      <w:ind w:right="0" w:firstLine="0" w:left="1701"/>
    </w:pPr>
  </w:style>
  <w:style w:type="paragraph" w:styleId="872">
    <w:name w:val="toc 8"/>
    <w:basedOn w:val="876"/>
    <w:next w:val="876"/>
    <w:uiPriority w:val="39"/>
    <w:unhideWhenUsed/>
    <w:pPr>
      <w:pBdr/>
      <w:spacing w:after="57"/>
      <w:ind w:right="0" w:firstLine="0" w:left="1984"/>
    </w:pPr>
  </w:style>
  <w:style w:type="paragraph" w:styleId="873">
    <w:name w:val="toc 9"/>
    <w:basedOn w:val="876"/>
    <w:next w:val="876"/>
    <w:uiPriority w:val="39"/>
    <w:unhideWhenUsed/>
    <w:pPr>
      <w:pBdr/>
      <w:spacing w:after="57"/>
      <w:ind w:right="0" w:firstLine="0" w:left="2268"/>
    </w:pPr>
  </w:style>
  <w:style w:type="paragraph" w:styleId="874">
    <w:name w:val="TOC Heading"/>
    <w:uiPriority w:val="39"/>
    <w:unhideWhenUsed/>
    <w:pPr>
      <w:pBdr/>
      <w:spacing/>
      <w:ind/>
    </w:pPr>
  </w:style>
  <w:style w:type="paragraph" w:styleId="875">
    <w:name w:val="table of figures"/>
    <w:basedOn w:val="876"/>
    <w:next w:val="876"/>
    <w:uiPriority w:val="99"/>
    <w:unhideWhenUsed/>
    <w:pPr>
      <w:pBdr/>
      <w:spacing w:after="0" w:afterAutospacing="0"/>
      <w:ind/>
    </w:pPr>
  </w:style>
  <w:style w:type="paragraph" w:styleId="876" w:default="1">
    <w:name w:val="Normal"/>
    <w:qFormat/>
    <w:pPr>
      <w:pBdr/>
      <w:spacing/>
      <w:ind/>
    </w:pPr>
  </w:style>
  <w:style w:type="table" w:styleId="87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78" w:default="1">
    <w:name w:val="No List"/>
    <w:uiPriority w:val="99"/>
    <w:semiHidden/>
    <w:unhideWhenUsed/>
    <w:pPr>
      <w:pBdr/>
      <w:spacing/>
      <w:ind/>
    </w:pPr>
  </w:style>
  <w:style w:type="paragraph" w:styleId="879">
    <w:name w:val="No Spacing"/>
    <w:basedOn w:val="876"/>
    <w:uiPriority w:val="1"/>
    <w:qFormat/>
    <w:pPr>
      <w:pBdr/>
      <w:spacing w:after="0" w:line="240" w:lineRule="auto"/>
      <w:ind/>
    </w:pPr>
  </w:style>
  <w:style w:type="paragraph" w:styleId="880">
    <w:name w:val="List Paragraph"/>
    <w:basedOn w:val="876"/>
    <w:uiPriority w:val="34"/>
    <w:qFormat/>
    <w:pPr>
      <w:pBdr/>
      <w:spacing/>
      <w:ind w:left="720"/>
      <w:contextualSpacing w:val="true"/>
    </w:pPr>
  </w:style>
  <w:style w:type="character" w:styleId="881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2024-03-10T09:31:28Z</dcterms:modified>
</cp:coreProperties>
</file>