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CB" w:rsidRDefault="00F55DCB" w:rsidP="008E50EB">
      <w:pPr>
        <w:spacing w:after="0" w:line="240" w:lineRule="auto"/>
        <w:jc w:val="center"/>
        <w:rPr>
          <w:rFonts w:ascii="Times New Roman" w:hAnsi="Times New Roman" w:cs="Times New Roman"/>
          <w:b/>
          <w:sz w:val="28"/>
          <w:szCs w:val="28"/>
        </w:rPr>
      </w:pPr>
      <w:bookmarkStart w:id="0" w:name="_GoBack"/>
      <w:r w:rsidRPr="008E50EB">
        <w:rPr>
          <w:rFonts w:ascii="Times New Roman" w:hAnsi="Times New Roman" w:cs="Times New Roman"/>
          <w:b/>
          <w:sz w:val="28"/>
          <w:szCs w:val="28"/>
        </w:rPr>
        <w:t>Культурно-просветительская компетенция педагога как условие успешности педагогической деятельности</w:t>
      </w:r>
    </w:p>
    <w:bookmarkEnd w:id="0"/>
    <w:p w:rsidR="008E50EB" w:rsidRPr="008E50EB" w:rsidRDefault="008E50EB" w:rsidP="008E50EB">
      <w:pPr>
        <w:spacing w:after="0" w:line="240" w:lineRule="auto"/>
        <w:jc w:val="center"/>
        <w:rPr>
          <w:rFonts w:ascii="Times New Roman" w:hAnsi="Times New Roman" w:cs="Times New Roman"/>
          <w:sz w:val="28"/>
          <w:szCs w:val="28"/>
        </w:rPr>
      </w:pP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Одной из актуальных проблем современного образования в России является проблема духовно</w:t>
      </w:r>
      <w:r w:rsidRPr="008E50EB">
        <w:rPr>
          <w:rFonts w:ascii="Cambria Math" w:hAnsi="Cambria Math" w:cs="Cambria Math"/>
          <w:sz w:val="28"/>
          <w:szCs w:val="28"/>
        </w:rPr>
        <w:t>‐</w:t>
      </w:r>
      <w:r w:rsidRPr="008E50EB">
        <w:rPr>
          <w:rFonts w:ascii="Times New Roman" w:hAnsi="Times New Roman" w:cs="Times New Roman"/>
          <w:sz w:val="28"/>
          <w:szCs w:val="28"/>
        </w:rPr>
        <w:t xml:space="preserve">нравственного развития и воспитания подрастающего поколения. Это отражено в национальной доктрине образования в Российской Федерации до 2025 г. В ней отмечается, что стратегической целью образования является преодоление духовного кризиса, обеспечение исторической преемственности поколений, сохранение, распространение и развитие национальной культуры.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Распространение культурных ценностей осуществляется через систему образования, где одна из важных ролей отводится учителю. В 1996 г. ЮНЕСКО опубликовала положения доклада Международной комиссии по образованию для XXI в. «Образование: сокрытое сокровище», в которых обосновала одну из основных задач, стоящих перед учителем – передать ученику все то, что человечество накопило в виде знаний о самом себе и о природе, об основных достижениях в области созидания и творчества.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Ретроспективный взгляд на феномен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учителя позволяет сделать вывод: на протяжении всей истории отечественного образования российский учитель по своему призванию всегда был просветителем, активным участником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просветительной работы. Изучая просветительскую миссию учителя в трудах общественных деяте- 131 лей России середины XIX века, А.В. Уткин писал, что взгляд на просвещение как одну из основных сил, способных изменить существующие условия жизни, был широко распространен среди различных кругов русского общества периода формирования национальной светской системы образования. Этот взгляд во многом определил характер и направление общественно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педагогического движения середины XIX века, одной из центральных проблем, которого стала проблема государственного и общественного идеала учителя и выполняемой им миссии в новой социокультурной ситуации развития страны.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России принадлежит приоритет разработки в конце XIX в. методологии внешкольного образования. Фундаментальным исследованием по данному вопросу является труд нашего соотечественника профессора Е.Н. Медынского «Энциклопедия внешкольного образования», опубликованный в 1923 г. Значительный вклад в теорию и практику внешкольного воспитания,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просветительной работы внесла Н.К. Крупская. В советский период просветительская работа была тесно связана с идеологией государства, но в широком смысле понималась как любая организованная вне учебных заведений деятельность, способствующая культурному росту человека, представляя из себя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просветительскую деятельность как единое целое.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Во второй половине XX в. социально значимая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просветительская, творческая деятельность учителя получила официальный статус в качестве одного из видов профессиональной педагогической деятельности и включена в квалификационную характеристику государственного образовательного стандарта высшего профессионального </w:t>
      </w:r>
      <w:r w:rsidRPr="008E50EB">
        <w:rPr>
          <w:rFonts w:ascii="Times New Roman" w:hAnsi="Times New Roman" w:cs="Times New Roman"/>
          <w:sz w:val="28"/>
          <w:szCs w:val="28"/>
        </w:rPr>
        <w:lastRenderedPageBreak/>
        <w:t xml:space="preserve">образования. В связи с переходом в XXI в. на многоуровневую профессиональную подготовку в ФГОС нового поколения данный вид деятельности обозначен конкретными компетенциями педагогической деятельности бакалавра.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Что же понимаем мы под такими понятиями как просвещение, просветительская деятельность,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дея- 132 тельность,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просветительская компетенция.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Находя общие параллели во всех трактовках понятия «просвещение» можно заключить, что главным здесь является «приобретение знаний и их трансляция, деятельность по приобретению и передаче знаний в сфере культуры и посредством культуры».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В Федеральном законе от 10 декабря 2000 г. под «просветительской деятельностью» понимается разновидность неформального образования, совокупность информационно </w:t>
      </w:r>
      <w:r w:rsidRPr="008E50EB">
        <w:rPr>
          <w:rFonts w:ascii="Cambria Math" w:hAnsi="Cambria Math" w:cs="Cambria Math"/>
          <w:sz w:val="28"/>
          <w:szCs w:val="28"/>
        </w:rPr>
        <w:t>‐</w:t>
      </w:r>
      <w:r w:rsidRPr="008E50EB">
        <w:rPr>
          <w:rFonts w:ascii="Times New Roman" w:hAnsi="Times New Roman" w:cs="Times New Roman"/>
          <w:sz w:val="28"/>
          <w:szCs w:val="28"/>
        </w:rPr>
        <w:t xml:space="preserve">образовательных мероприятий по пропаганде и целенаправленному распространению научных знаний и иных социально значимых сведений, формирующих общую культуру человека, основы его мировоззрения и комплекс интеллектуальных способностей к компетентному действию. Основной целью просветительской деятельности является повышение уровня общей культуры и социальной активности населения.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Теоретический анализ работ (С.А. Пиналов, В.Е. Триодин, Ю.Д. Красильников и др.) показал, что под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деятельностью» понимается педагогически организованная свободная деятельность, направленная на просвещение, воспитание всесторонне гармонически развитой личности, в процессе которой происходит развитие творческих способностей, удовлетворение культурных потребностей и подъем культурного уровня личности.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Профессиональные компетенции в области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определяются способностью педагога: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к разработке и реализации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просветительских программ, в том числе с использованием информационно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коммуникационных технологий;</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взаимодействию с участниками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просветительской деятельности;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к использованию отечественного и зарубежного опыта организации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просветительской деятельности;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выявлять и использовать возможности региональной культурной образовательной среды для организации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в образовательном процессе.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Базовыми аспектами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просветительских компетенций являются:</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функция просвещения: способность и готовность участвовать в культурной жизни общества, создавая объекты материального и нематериального искусства, использовать моровое культурное наследие для удовлетворения художественно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 эстетических потребностей всех категорий населения, а также мероприятий в поддержку развития культуры;</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lastRenderedPageBreak/>
        <w:t xml:space="preserve"> − пропаганда культуры: способность принимать участие в формировании общего мирового научного, образовательного и культурно</w:t>
      </w:r>
      <w:r w:rsidRPr="008E50EB">
        <w:rPr>
          <w:rFonts w:ascii="Cambria Math" w:hAnsi="Cambria Math" w:cs="Cambria Math"/>
          <w:sz w:val="28"/>
          <w:szCs w:val="28"/>
        </w:rPr>
        <w:t>‐</w:t>
      </w:r>
      <w:r w:rsidRPr="008E50EB">
        <w:rPr>
          <w:rFonts w:ascii="Times New Roman" w:hAnsi="Times New Roman" w:cs="Times New Roman"/>
          <w:sz w:val="28"/>
          <w:szCs w:val="28"/>
        </w:rPr>
        <w:t>информационного пространства, трансляции и сохранения в нем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исторического наследия народов России;</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воздействие на сознание: способность содействовать раскрытию и развитию окружающих людей, формированию и развитию духовно</w:t>
      </w:r>
      <w:r w:rsidRPr="008E50EB">
        <w:rPr>
          <w:rFonts w:ascii="Cambria Math" w:hAnsi="Cambria Math" w:cs="Cambria Math"/>
          <w:sz w:val="28"/>
          <w:szCs w:val="28"/>
        </w:rPr>
        <w:t>‐</w:t>
      </w:r>
      <w:r w:rsidRPr="008E50EB">
        <w:rPr>
          <w:rFonts w:ascii="Times New Roman" w:hAnsi="Times New Roman" w:cs="Times New Roman"/>
          <w:sz w:val="28"/>
          <w:szCs w:val="28"/>
        </w:rPr>
        <w:t>нравственных идеалов и ценностей общества при помощи искусства и арт</w:t>
      </w:r>
      <w:r w:rsidRPr="008E50EB">
        <w:rPr>
          <w:rFonts w:ascii="Cambria Math" w:hAnsi="Cambria Math" w:cs="Cambria Math"/>
          <w:sz w:val="28"/>
          <w:szCs w:val="28"/>
        </w:rPr>
        <w:t>‐</w:t>
      </w:r>
      <w:r w:rsidRPr="008E50EB">
        <w:rPr>
          <w:rFonts w:ascii="Times New Roman" w:hAnsi="Times New Roman" w:cs="Times New Roman"/>
          <w:sz w:val="28"/>
          <w:szCs w:val="28"/>
        </w:rPr>
        <w:t xml:space="preserve">терапии;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политическая функция: способность участвовать в постановке и решении актуальных задач российской государственной политики в области национально</w:t>
      </w:r>
      <w:r w:rsidRPr="008E50EB">
        <w:rPr>
          <w:rFonts w:ascii="Cambria Math" w:hAnsi="Cambria Math" w:cs="Cambria Math"/>
          <w:sz w:val="28"/>
          <w:szCs w:val="28"/>
        </w:rPr>
        <w:t>‐</w:t>
      </w:r>
      <w:r w:rsidRPr="008E50EB">
        <w:rPr>
          <w:rFonts w:ascii="Times New Roman" w:hAnsi="Times New Roman" w:cs="Times New Roman"/>
          <w:sz w:val="28"/>
          <w:szCs w:val="28"/>
        </w:rPr>
        <w:t xml:space="preserve">культурных отношений, развития этнокультурного образования и межкультурных коммуникаций.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деятельность вовлечена практически во все составляющие жизни человека: образование, политику, экономику, медицину, досуг, карьеру и т. д. Особая роль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отводится в школьном периоде жизни. Школьный возраст – это время интенсивного развития нравственных и эстетических чувств, становления характера и овладения полным набором социальных ролей взрослого человека.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деятельность педагога осуществляется посредством различных технологий (форм, методов). Их многообразию можно удивляться. Статус «классических форм»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просветительской деятельности имеют «лекция» и «бе- 134 седа». Родившиеся до 1917 года, они не растеряли своей значимости и в наши дни. Бытующие и поныне диспуты и дискуссии, научно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просветительные вечера, олимпиады, разнообразные кружки, курсы, другие интересные формы досуговой деятельности появились в арсенале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просветительской деятельности в период с 1920 по 1940 гг. В послевоенное десятилетие в копилку организационно</w:t>
      </w:r>
      <w:r w:rsidRPr="008E50EB">
        <w:rPr>
          <w:rFonts w:ascii="Cambria Math" w:hAnsi="Cambria Math" w:cs="Cambria Math"/>
          <w:sz w:val="28"/>
          <w:szCs w:val="28"/>
        </w:rPr>
        <w:t>‐</w:t>
      </w:r>
      <w:r w:rsidRPr="008E50EB">
        <w:rPr>
          <w:rFonts w:ascii="Times New Roman" w:hAnsi="Times New Roman" w:cs="Times New Roman"/>
          <w:sz w:val="28"/>
          <w:szCs w:val="28"/>
        </w:rPr>
        <w:t>методических форм досуговой и просветительской деятельности были введены: народные театры и образцовые детские коллективы, возродившиеся народные университеты и появившиеся школы культуры, пережившие свое второе рождение агитационно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художественные бригады и разнообразные «недели», «декады», «месячники», разнообразные любительские объединения и клубы по интересам, любопытные по замыслу праздники и обряды и т. п.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При всем многообразии вышеперечисленных форм в настоящее время безусловным фаворитом является «метод проектов». К числу наиболее популярных можно также отнести игровые технологии, технологии коллективных творческих дел, мастер классы, творческие мастерские и др.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Роль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просветительной деятельности учителя в современных условиях глобализации, поликультурности, толерантности, диалога культур в сфере образования всех народов мира трудно переоценить. Только просвещенные люди смогут обеспечить прогресс в развитии собственной страны. Просвещение расширяет кругозор человека, позволяет ему найти достойное место в обществе, делает его полезным для собственного государства.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lastRenderedPageBreak/>
        <w:t>Успешен тот учитель, кто знает, понимает, владеет и реализует профессиональные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просветительные компетенции в своей педагогической деятельности, что, безусловно, способствует совершенствованию профессиональной деятельности учителя, и, следовательно, повышению качества образования обучающихся.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Список литературы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1. Антология педагогической мысли России XVIII века. – М.: Педагогика, 1985.–480 с. 135</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2. Антология педагогической мысли России первой половины XIX века. – М.: Педагогика, 1987. – 558 с.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3. С. Елагина В.С. Становление педагогической компетентности студентов педагогического вуза // Современные наукоѐмкие технологии. – 2010. – №10. – 113–116.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4. Кант И. Ответ на вопрос: Что такое просвещение? (1784 г.) // Цифровая библиотека по философии [Электронный ресурс]. – Режим доступа: http://filosof.historic.ru /books/item/f00/s00/z0000508/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5. Киселева Т.Г. Социально</w:t>
      </w:r>
      <w:r w:rsidRPr="008E50EB">
        <w:rPr>
          <w:rFonts w:ascii="Cambria Math" w:hAnsi="Cambria Math" w:cs="Cambria Math"/>
          <w:sz w:val="28"/>
          <w:szCs w:val="28"/>
        </w:rPr>
        <w:t>‐</w:t>
      </w:r>
      <w:r w:rsidRPr="008E50EB">
        <w:rPr>
          <w:rFonts w:ascii="Times New Roman" w:hAnsi="Times New Roman" w:cs="Times New Roman"/>
          <w:sz w:val="28"/>
          <w:szCs w:val="28"/>
        </w:rPr>
        <w:t xml:space="preserve">культурная деятельность: учеб. пособие / Т.Г. Киселева, Ю.Д. Красильников. – М.: Московский государственный университет культуры и искусств, 2004. – 274 с.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6. Медынский Е.Н. Энциклопедия внешкольного образования. Общая теория внешкольного образования. – Т. 1. – М.; Пг: Гос. изд</w:t>
      </w:r>
      <w:r w:rsidRPr="008E50EB">
        <w:rPr>
          <w:rFonts w:ascii="Cambria Math" w:hAnsi="Cambria Math" w:cs="Cambria Math"/>
          <w:sz w:val="28"/>
          <w:szCs w:val="28"/>
        </w:rPr>
        <w:t>‐</w:t>
      </w:r>
      <w:r w:rsidRPr="008E50EB">
        <w:rPr>
          <w:rFonts w:ascii="Times New Roman" w:hAnsi="Times New Roman" w:cs="Times New Roman"/>
          <w:sz w:val="28"/>
          <w:szCs w:val="28"/>
        </w:rPr>
        <w:t xml:space="preserve">во, 1923.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7. Национальная доктрина образования в Российской Федерации: одобрена постановлением правительства РФ от 04.10.2000 №751 // Российская газета: документы [Электронный ресурс]. – Режим доступа: </w:t>
      </w:r>
      <w:hyperlink r:id="rId4" w:history="1">
        <w:r w:rsidR="008E50EB" w:rsidRPr="008E50EB">
          <w:rPr>
            <w:rStyle w:val="a3"/>
            <w:rFonts w:ascii="Times New Roman" w:hAnsi="Times New Roman" w:cs="Times New Roman"/>
            <w:sz w:val="28"/>
            <w:szCs w:val="28"/>
          </w:rPr>
          <w:t>http://www.rg.ru/2000/10/11/Doktrina</w:t>
        </w:r>
        <w:r w:rsidR="008E50EB" w:rsidRPr="008E50EB">
          <w:rPr>
            <w:rStyle w:val="a3"/>
            <w:rFonts w:ascii="Cambria Math" w:hAnsi="Cambria Math" w:cs="Cambria Math"/>
            <w:sz w:val="28"/>
            <w:szCs w:val="28"/>
          </w:rPr>
          <w:t>‐</w:t>
        </w:r>
        <w:r w:rsidR="008E50EB" w:rsidRPr="008E50EB">
          <w:rPr>
            <w:rStyle w:val="a3"/>
            <w:rFonts w:ascii="Times New Roman" w:hAnsi="Times New Roman" w:cs="Times New Roman"/>
            <w:sz w:val="28"/>
            <w:szCs w:val="28"/>
          </w:rPr>
          <w:t>dok.html</w:t>
        </w:r>
      </w:hyperlink>
      <w:r w:rsidRPr="008E50EB">
        <w:rPr>
          <w:rFonts w:ascii="Times New Roman" w:hAnsi="Times New Roman" w:cs="Times New Roman"/>
          <w:sz w:val="28"/>
          <w:szCs w:val="28"/>
        </w:rPr>
        <w:t xml:space="preserve">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8. Пиналов С.А. История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просветительной работы в СССР: Учеб. пособие для ин</w:t>
      </w:r>
      <w:r w:rsidRPr="008E50EB">
        <w:rPr>
          <w:rFonts w:ascii="Cambria Math" w:hAnsi="Cambria Math" w:cs="Cambria Math"/>
          <w:sz w:val="28"/>
          <w:szCs w:val="28"/>
        </w:rPr>
        <w:t>‐</w:t>
      </w:r>
      <w:r w:rsidRPr="008E50EB">
        <w:rPr>
          <w:rFonts w:ascii="Times New Roman" w:hAnsi="Times New Roman" w:cs="Times New Roman"/>
          <w:sz w:val="28"/>
          <w:szCs w:val="28"/>
        </w:rPr>
        <w:t xml:space="preserve">тов культуры. – Киев: Вища школа, 1983. – 262 с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9</w:t>
      </w:r>
      <w:r w:rsidR="008E50EB" w:rsidRPr="008E50EB">
        <w:rPr>
          <w:rFonts w:ascii="Times New Roman" w:hAnsi="Times New Roman" w:cs="Times New Roman"/>
          <w:sz w:val="28"/>
          <w:szCs w:val="28"/>
        </w:rPr>
        <w:t>.</w:t>
      </w:r>
      <w:r w:rsidRPr="008E50EB">
        <w:rPr>
          <w:rFonts w:ascii="Times New Roman" w:hAnsi="Times New Roman" w:cs="Times New Roman"/>
          <w:sz w:val="28"/>
          <w:szCs w:val="28"/>
        </w:rPr>
        <w:t xml:space="preserve">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Утвержден Приказом Министерства образования и науки РФ</w:t>
      </w:r>
      <w:r w:rsidR="008E50EB" w:rsidRPr="008E50EB">
        <w:rPr>
          <w:rFonts w:ascii="Times New Roman" w:hAnsi="Times New Roman" w:cs="Times New Roman"/>
          <w:sz w:val="28"/>
          <w:szCs w:val="28"/>
        </w:rPr>
        <w:t>.</w:t>
      </w:r>
    </w:p>
    <w:sectPr w:rsidR="00F55DCB" w:rsidRPr="008E50EB" w:rsidSect="00F55DC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E4"/>
    <w:rsid w:val="00170CE4"/>
    <w:rsid w:val="008E50EB"/>
    <w:rsid w:val="009C0C54"/>
    <w:rsid w:val="00F5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535A"/>
  <w15:chartTrackingRefBased/>
  <w15:docId w15:val="{201177A7-7CF7-4EDC-81BD-5C535BD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0/10/11/Doktrina&#8208;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2024-04-16T12:45:00Z</dcterms:created>
  <dcterms:modified xsi:type="dcterms:W3CDTF">2024-04-16T12:45:00Z</dcterms:modified>
</cp:coreProperties>
</file>