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05FDE" w:rsidRDefault="00A05FDE">
      <w:pPr>
        <w:rPr>
          <w:rFonts w:ascii="Times New Roman" w:hAnsi="Times New Roman" w:cs="Times New Roman"/>
          <w:b/>
          <w:sz w:val="24"/>
          <w:szCs w:val="24"/>
        </w:rPr>
      </w:pPr>
      <w:r w:rsidRPr="00A05FDE">
        <w:rPr>
          <w:rFonts w:ascii="Times New Roman" w:hAnsi="Times New Roman" w:cs="Times New Roman"/>
          <w:b/>
          <w:sz w:val="24"/>
          <w:szCs w:val="24"/>
        </w:rPr>
        <w:t>Методическая разработка: «Методика ознакомления с долями и дробями в начальной школе».</w:t>
      </w:r>
      <w:bookmarkStart w:id="0" w:name="_GoBack"/>
      <w:bookmarkEnd w:id="0"/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– это одна часть от целого -  1/5,  1/123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Дробь – 2 и более частей от целого числа – 2/5, 4/18, 12/100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дробь, это значит найти какой значение надо поставить между двумя дробями &lt;</w:t>
      </w:r>
      <w:proofErr w:type="gramStart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&gt; , = ,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учащихся с понятием доли, значит сформировать у них конкретное представление о долях, т. е. научить детей образовать доли практически.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правильных представлений о долях надо использовать достаточное количество разнообразных наглядных пособий. Нам более удобными пособиями являются геометрические фигуры, из бумаги, в форме прямоугольника, круга, треугольника, отрезка и т.д.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представление о долях, а позднее о дробях будут сформированы тогда, когда ученики своими руками получать, например, половину квадрата, круга, четверть отрезка и т.д.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 записываются с помощью двух чисел. Одна вторая доля квадрата обозначается 1/2. Число 2 показывает, что квадрат разделен на 2 равные части, а число 1 показывает, что взяли одну такую часть.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получает ¼, 1/6, 1/12. Решение задач на нахождение доли числа и числа по его доле также способствует формированию представлений о долях величины. Потому решение задач на нахождение доли числа и числа по его доле выполняется на наглядной основе.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дробей, как и </w:t>
      </w:r>
      <w:proofErr w:type="gramStart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proofErr w:type="gramEnd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долей рассматривается с помощью наглядных пособий. Для сравнения дробей обычно используются иллюстрации е разными прямоугольниками.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Предлагаются специальные</w:t>
      </w:r>
      <w:r w:rsidRPr="00A05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сравнение дробей: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Вставьте пропущенный знак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Конкретный смысл дроби ярко раскрывается при решении задач на нахождение дроби числа. Решение этих задач, как и задач на нахождение доли числа, выполняется с помощью соответствующих наглядных пособий.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у закройщика было 12 метров ткани. 3:2 всей ткани </w:t>
      </w:r>
      <w:proofErr w:type="gramStart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расходовал. Сколько метров ткани израсходовал закройщик?</w:t>
      </w:r>
    </w:p>
    <w:p w:rsidR="00A05FDE" w:rsidRPr="00A05FDE" w:rsidRDefault="00A05FDE" w:rsidP="00A05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упражнения с дробями следует чаще включать для устных и письменных работ на протяжении всего учебного года.</w:t>
      </w:r>
    </w:p>
    <w:p w:rsidR="00A05FDE" w:rsidRDefault="00A05FDE" w:rsidP="00A05FDE">
      <w:r w:rsidRPr="00A05F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5F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A0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DE"/>
    <w:rsid w:val="006848D7"/>
    <w:rsid w:val="00A05FDE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FDE"/>
    <w:rPr>
      <w:b/>
      <w:bCs/>
    </w:rPr>
  </w:style>
  <w:style w:type="character" w:styleId="a5">
    <w:name w:val="Hyperlink"/>
    <w:basedOn w:val="a0"/>
    <w:uiPriority w:val="99"/>
    <w:semiHidden/>
    <w:unhideWhenUsed/>
    <w:rsid w:val="00A05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FDE"/>
    <w:rPr>
      <w:b/>
      <w:bCs/>
    </w:rPr>
  </w:style>
  <w:style w:type="character" w:styleId="a5">
    <w:name w:val="Hyperlink"/>
    <w:basedOn w:val="a0"/>
    <w:uiPriority w:val="99"/>
    <w:semiHidden/>
    <w:unhideWhenUsed/>
    <w:rsid w:val="00A05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2025-01-07T17:50:00Z</dcterms:created>
  <dcterms:modified xsi:type="dcterms:W3CDTF">2025-01-07T17:54:00Z</dcterms:modified>
</cp:coreProperties>
</file>