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C65" w:rsidRDefault="00E64C65" w:rsidP="00E64C65">
      <w:pPr>
        <w:spacing w:after="0" w:line="360" w:lineRule="auto"/>
        <w:jc w:val="center"/>
        <w:rPr>
          <w:rFonts w:ascii="Times New Roman" w:hAnsi="Times New Roman"/>
          <w:b/>
          <w:bCs/>
          <w:spacing w:val="-4"/>
          <w:sz w:val="28"/>
          <w:szCs w:val="28"/>
        </w:rPr>
      </w:pPr>
      <w:r>
        <w:rPr>
          <w:rFonts w:ascii="Times New Roman" w:hAnsi="Times New Roman"/>
          <w:b/>
          <w:bCs/>
          <w:spacing w:val="-4"/>
          <w:sz w:val="28"/>
          <w:szCs w:val="28"/>
        </w:rPr>
        <w:t xml:space="preserve">Научная статья </w:t>
      </w:r>
    </w:p>
    <w:p w:rsidR="00E64C65" w:rsidRDefault="00E64C65" w:rsidP="00E64C65">
      <w:pPr>
        <w:spacing w:after="0" w:line="360" w:lineRule="auto"/>
        <w:jc w:val="center"/>
        <w:rPr>
          <w:rFonts w:ascii="Times New Roman" w:eastAsiaTheme="minorHAnsi" w:hAnsi="Times New Roman"/>
          <w:sz w:val="28"/>
          <w:szCs w:val="28"/>
        </w:rPr>
      </w:pPr>
      <w:r>
        <w:rPr>
          <w:rFonts w:ascii="Times New Roman" w:eastAsiaTheme="minorHAnsi" w:hAnsi="Times New Roman"/>
          <w:b/>
          <w:sz w:val="28"/>
          <w:szCs w:val="28"/>
        </w:rPr>
        <w:t>«</w:t>
      </w:r>
      <w:r>
        <w:rPr>
          <w:rFonts w:ascii="Times New Roman" w:hAnsi="Times New Roman"/>
          <w:b/>
          <w:bCs/>
          <w:color w:val="000000" w:themeColor="text1"/>
          <w:kern w:val="36"/>
          <w:sz w:val="26"/>
          <w:szCs w:val="26"/>
        </w:rPr>
        <w:t>Проблемы производства по делам</w:t>
      </w:r>
      <w:r w:rsidR="003C49CB">
        <w:rPr>
          <w:rFonts w:ascii="Times New Roman" w:hAnsi="Times New Roman"/>
          <w:b/>
          <w:bCs/>
          <w:color w:val="000000" w:themeColor="text1"/>
          <w:kern w:val="36"/>
          <w:sz w:val="26"/>
          <w:szCs w:val="26"/>
        </w:rPr>
        <w:t>,</w:t>
      </w:r>
      <w:r>
        <w:rPr>
          <w:rFonts w:ascii="Times New Roman" w:hAnsi="Times New Roman"/>
          <w:b/>
          <w:bCs/>
          <w:color w:val="000000" w:themeColor="text1"/>
          <w:kern w:val="36"/>
          <w:sz w:val="26"/>
          <w:szCs w:val="26"/>
        </w:rPr>
        <w:t xml:space="preserve"> связанным с ограничением дееспособности гражданина и признание гражданина недееспособным</w:t>
      </w:r>
      <w:r>
        <w:rPr>
          <w:rFonts w:ascii="Times New Roman" w:eastAsiaTheme="minorHAnsi" w:hAnsi="Times New Roman"/>
          <w:sz w:val="28"/>
          <w:szCs w:val="28"/>
        </w:rPr>
        <w:t>»</w:t>
      </w:r>
      <w:bookmarkStart w:id="0" w:name="_GoBack"/>
      <w:bookmarkEnd w:id="0"/>
    </w:p>
    <w:p w:rsidR="00E64C65" w:rsidRDefault="00E64C65" w:rsidP="00E64C65">
      <w:pPr>
        <w:pStyle w:val="a3"/>
        <w:spacing w:before="0" w:after="0" w:line="360" w:lineRule="auto"/>
        <w:ind w:firstLine="709"/>
        <w:jc w:val="both"/>
        <w:textAlignment w:val="top"/>
        <w:rPr>
          <w:color w:val="000000"/>
        </w:rPr>
      </w:pPr>
      <w:r>
        <w:rPr>
          <w:color w:val="000000"/>
        </w:rPr>
        <w:t xml:space="preserve">Аннотация: в данной статье рассматриваются особенности процесса признания граждан </w:t>
      </w:r>
      <w:proofErr w:type="gramStart"/>
      <w:r>
        <w:rPr>
          <w:color w:val="000000"/>
        </w:rPr>
        <w:t>недееспособными</w:t>
      </w:r>
      <w:proofErr w:type="gramEnd"/>
      <w:r>
        <w:rPr>
          <w:color w:val="000000"/>
        </w:rPr>
        <w:t>, понятие психического расстройства; выделяются определенные проблемы, связанные непосредственно с признанием гражданина недееспособным. Также в данной статье анализируется судебная практика, связанная с нарушением исполнения своих обязанностей опекуном недееспособного.</w:t>
      </w:r>
    </w:p>
    <w:p w:rsidR="00E64C65" w:rsidRDefault="00E64C65" w:rsidP="00E64C65">
      <w:pPr>
        <w:pStyle w:val="a3"/>
        <w:spacing w:before="0" w:after="0" w:line="360" w:lineRule="auto"/>
        <w:ind w:firstLine="709"/>
        <w:jc w:val="both"/>
        <w:textAlignment w:val="top"/>
        <w:rPr>
          <w:color w:val="000000"/>
        </w:rPr>
      </w:pPr>
      <w:r>
        <w:rPr>
          <w:color w:val="000000"/>
        </w:rPr>
        <w:t xml:space="preserve">Ключевые слова: недееспособность, признание гражданина </w:t>
      </w:r>
      <w:proofErr w:type="gramStart"/>
      <w:r>
        <w:rPr>
          <w:color w:val="000000"/>
        </w:rPr>
        <w:t>недееспособным</w:t>
      </w:r>
      <w:proofErr w:type="gramEnd"/>
      <w:r>
        <w:rPr>
          <w:color w:val="000000"/>
        </w:rPr>
        <w:t>, недееспособные граждане, психическое расстройство, опекун.</w:t>
      </w:r>
    </w:p>
    <w:p w:rsidR="00E64C65" w:rsidRDefault="00E64C65" w:rsidP="00E64C65">
      <w:pPr>
        <w:pStyle w:val="a3"/>
        <w:spacing w:before="0" w:after="0" w:line="360" w:lineRule="auto"/>
        <w:ind w:firstLine="709"/>
        <w:jc w:val="both"/>
        <w:textAlignment w:val="top"/>
        <w:rPr>
          <w:color w:val="000000"/>
          <w:lang w:val="en-US"/>
        </w:rPr>
      </w:pPr>
      <w:r>
        <w:rPr>
          <w:color w:val="000000"/>
          <w:lang w:val="en-US"/>
        </w:rPr>
        <w:t>Annotation: this article discusses the features of the process of recognizing citizens as incompetent, the concept of mental disorder; certain problems are identified that are directly related to the recognition of a citizen as incompetent. Also, this article</w:t>
      </w:r>
    </w:p>
    <w:p w:rsidR="00E64C65" w:rsidRDefault="00E64C65" w:rsidP="00E64C65">
      <w:pPr>
        <w:pStyle w:val="a3"/>
        <w:spacing w:before="0" w:after="0" w:line="360" w:lineRule="auto"/>
        <w:ind w:firstLine="709"/>
        <w:jc w:val="both"/>
        <w:textAlignment w:val="top"/>
        <w:rPr>
          <w:color w:val="000000"/>
          <w:lang w:val="en-US"/>
        </w:rPr>
      </w:pPr>
      <w:proofErr w:type="gramStart"/>
      <w:r>
        <w:rPr>
          <w:color w:val="000000"/>
          <w:lang w:val="en-US"/>
        </w:rPr>
        <w:t>analyzes</w:t>
      </w:r>
      <w:proofErr w:type="gramEnd"/>
      <w:r>
        <w:rPr>
          <w:color w:val="000000"/>
          <w:lang w:val="en-US"/>
        </w:rPr>
        <w:t xml:space="preserve"> the judicial practice related to the violation of the performance of their duties by the guardian of the incapacitated.</w:t>
      </w:r>
    </w:p>
    <w:p w:rsidR="00E64C65" w:rsidRDefault="00E64C65" w:rsidP="00E64C65">
      <w:pPr>
        <w:pStyle w:val="a3"/>
        <w:spacing w:before="0" w:after="0" w:line="360" w:lineRule="auto"/>
        <w:ind w:firstLine="709"/>
        <w:jc w:val="both"/>
        <w:textAlignment w:val="top"/>
        <w:rPr>
          <w:color w:val="000000"/>
          <w:lang w:val="en-US"/>
        </w:rPr>
      </w:pPr>
      <w:r>
        <w:rPr>
          <w:color w:val="000000"/>
          <w:lang w:val="en-US"/>
        </w:rPr>
        <w:t>Key words: incapacity, recognition of a citizen as incapable, incompetent citizens, mental disorder, guardian.</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rPr>
        <w:t xml:space="preserve">В настоящее время вопросы, касающиеся производства по делам, связанным с ограничением дееспособности граждан и признанием их недееспособными, несмотря на определенный эволюционный путь данного процессуального института, продолжают будоражить </w:t>
      </w:r>
      <w:proofErr w:type="gramStart"/>
      <w:r>
        <w:rPr>
          <w:rFonts w:ascii="Times New Roman" w:hAnsi="Times New Roman"/>
          <w:color w:val="000000" w:themeColor="text1"/>
          <w:sz w:val="24"/>
          <w:szCs w:val="24"/>
        </w:rPr>
        <w:t>умы</w:t>
      </w:r>
      <w:proofErr w:type="gramEnd"/>
      <w:r>
        <w:rPr>
          <w:rFonts w:ascii="Times New Roman" w:hAnsi="Times New Roman"/>
          <w:color w:val="000000" w:themeColor="text1"/>
          <w:sz w:val="24"/>
          <w:szCs w:val="24"/>
        </w:rPr>
        <w:t xml:space="preserve"> как теоретиков, так и практиков юриспруденции. Суть дела заключается в том, что наиболее важной отличительной чертой действующей Конституции Российской Федерации является её стремление к обеспечению прав и свобод личности. Этот принцип, провозглашенный в самых основах правового государства, требует внимательного и чуткого отношения к каждому индивидууму, оказываясь в зоне влияния закона. В условиях современного общества, где права граждан порой оказываются под угрозой, необходима тщательная проработка механизмов, способствующих справедливому разрешению спорных ситуаций. Противоречия и вызовы, возникающие в данной области, продолжают притягивать научные умы и практиков, которые стремятся найти гармонию между защитой прав личности и интересами общества[1] (далее — РФ) является основополагающее место, которое она отводит </w:t>
      </w:r>
      <w:r>
        <w:rPr>
          <w:rFonts w:ascii="Times New Roman" w:hAnsi="Times New Roman"/>
          <w:sz w:val="24"/>
          <w:szCs w:val="24"/>
        </w:rPr>
        <w:t xml:space="preserve">базисным идеям в сфере прав и свобод человека и гражданина.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Без знания своих прав и понимания, связанных с каждым конкретным правом обязанностей существование в современном обществе не представляется возможным. Человек, не обдающий таким знанием, становится уязвимым и беззащитным в правовом </w:t>
      </w:r>
      <w:r>
        <w:rPr>
          <w:rFonts w:ascii="Times New Roman" w:hAnsi="Times New Roman"/>
          <w:sz w:val="24"/>
          <w:szCs w:val="24"/>
        </w:rPr>
        <w:lastRenderedPageBreak/>
        <w:t xml:space="preserve">смысле: его права могут быть безнаказанно нарушены, а сам человек может быть унижен, не понимая, что нарушители могут </w:t>
      </w:r>
      <w:proofErr w:type="gramStart"/>
      <w:r>
        <w:rPr>
          <w:rFonts w:ascii="Times New Roman" w:hAnsi="Times New Roman"/>
          <w:sz w:val="24"/>
          <w:szCs w:val="24"/>
        </w:rPr>
        <w:t>понести ответственность</w:t>
      </w:r>
      <w:proofErr w:type="gramEnd"/>
      <w:r>
        <w:rPr>
          <w:rFonts w:ascii="Times New Roman" w:hAnsi="Times New Roman"/>
          <w:sz w:val="24"/>
          <w:szCs w:val="24"/>
        </w:rPr>
        <w:t>. Нередко граждане не догадываются, что их окружает «инструмент», способный решить или уберечь от большого числа проблем. Название такому инструменту — «право».</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 Пользоваться им не так уж и сложно, как может показаться на первый взгляд. В Конституции РФ закрепляются все жизненно важные и социально значимые права и свободы для отдельного человека и гражданина, так и в целом для общества и государства. Непременным спутником правоспособности физического лица является его дееспособность. Но если правоспособность явление статичное, то дееспособность обладает характеристиками динамичности, находясь в процессе перманентного движения, трансформации [2]. Ни от одной из названных способностей человек отказаться не может. При этом существует возможность неиспользования дееспособности. В полном объеме она наступает при достижении гражданином совершеннолетия, т. е. восемнадцати лет, после чего тоже может быть подвергнута изменениям. Вопрос, связанный с дееспособностью физических лиц, все чаще привлекает внимание исследователей. Известный цивилист прошлого Г. Ф. </w:t>
      </w:r>
      <w:proofErr w:type="spellStart"/>
      <w:r>
        <w:rPr>
          <w:rFonts w:ascii="Times New Roman" w:hAnsi="Times New Roman"/>
          <w:sz w:val="24"/>
          <w:szCs w:val="24"/>
        </w:rPr>
        <w:t>Шершеневич</w:t>
      </w:r>
      <w:proofErr w:type="spellEnd"/>
      <w:r>
        <w:rPr>
          <w:rFonts w:ascii="Times New Roman" w:hAnsi="Times New Roman"/>
          <w:sz w:val="24"/>
          <w:szCs w:val="24"/>
        </w:rPr>
        <w:t xml:space="preserve"> полагал, что дееспособность является способностью стать «субъектом прав</w:t>
      </w:r>
      <w:proofErr w:type="gramStart"/>
      <w:r>
        <w:rPr>
          <w:rFonts w:ascii="Times New Roman" w:hAnsi="Times New Roman"/>
          <w:sz w:val="24"/>
          <w:szCs w:val="24"/>
        </w:rPr>
        <w:t>а-</w:t>
      </w:r>
      <w:proofErr w:type="gramEnd"/>
      <w:r>
        <w:rPr>
          <w:rFonts w:ascii="Times New Roman" w:hAnsi="Times New Roman"/>
          <w:sz w:val="24"/>
          <w:szCs w:val="24"/>
        </w:rPr>
        <w:t xml:space="preserve"> актом своей воли» [3].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Согласно положениям ст. 21 ГК РФ [4] дееспособность является способностью гражданина посредством своих действий приобретать и осуществлять гражданские права, создавать для себя гражданские обязанности и исполнять их (гражданская дееспособность). Данная способность в полном объеме возникает при наступлении совершеннолетия, т. е. по достижении гражданином возраста восемнадцати лет. Именно в этих возможностях заключается содержание дееспособности, которая при этом неразрывна с правоспособностью. Если содержание последней есть возможность иметь права и обязанности, то дееспособность характеризуется тем, что гражданин может создавать их именно своими действиями, реализуя правоспособность.</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Участие физических лиц в гражданском обороте законодатель связывает с понятием дееспособности. Только наличие у физического лица полной дееспособности дает ему возможность полноправно участвовать в гражданских правоотношениях. При этом гражданские правоотношения урегулированы не только нормами гражданского и семейного права. Существование данных правоотношений не представляется возможным без весьма близкого такого института, как гражданская процессуальная дееспособность, реализация которой подчинена положениям гражданского процессуального законодательства. По общему правилу в соответствии с ч. 1 ст. 37 ГПК РФ гражданская процессуальная дееспособность принадлежит в полном объеме гражданам, достигшим </w:t>
      </w:r>
      <w:r>
        <w:rPr>
          <w:rFonts w:ascii="Times New Roman" w:hAnsi="Times New Roman"/>
          <w:sz w:val="24"/>
          <w:szCs w:val="24"/>
        </w:rPr>
        <w:lastRenderedPageBreak/>
        <w:t xml:space="preserve">возраста 18 лет. Согласно ч. 5 ст. 37 ГПК РФ права, свободы и законные интересы несовершеннолетних, не достигших возраста 14 лет, а также граждан, признанных недееспособными, если иное не предусмотрено ГПК РФ, защищают в процессе их законные представители — родители, усыновители, опекуны, попечители или иные лица, которым это право предоставлено федеральным законом.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Например, воспитательное, лечебное учреждение, учреждение социальной защиты или аналогичная организация, в которой находится ребенок, оставшийся без попечения родителей, осуществляет его защиту интересов в качестве законного представителя. В силу ч. 3 ст. 37 ГПК РФ права, свободы и законные интересы несовершеннолетних в возрасте от 14 до 18 лет, а также граждан, ограниченных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Согласно ч. 4 ст. 37 ГПК РФ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14 до 18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 Говоря о судебном процессе, полагаем уместным обратиться и к вопросу, связанным с ограничением дееспособности.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Данное юридическое действие может быть реализовано только на основании решения суда и только в случаях, предусмотренных федеральным законодательством. Чаще всего заявления в суд на признание ограничения дееспособности или недееспособности подаются в отношении людей, которые: – злоупотребляют спиртными напитками; – употребляют наркотики; – имеют психическое расстройство</w:t>
      </w:r>
      <w:proofErr w:type="gramStart"/>
      <w:r>
        <w:rPr>
          <w:rFonts w:ascii="Times New Roman" w:hAnsi="Times New Roman"/>
          <w:sz w:val="24"/>
          <w:szCs w:val="24"/>
        </w:rPr>
        <w:t>.</w:t>
      </w:r>
      <w:proofErr w:type="gramEnd"/>
      <w:r>
        <w:rPr>
          <w:rFonts w:ascii="Times New Roman" w:hAnsi="Times New Roman"/>
          <w:sz w:val="24"/>
          <w:szCs w:val="24"/>
        </w:rPr>
        <w:t xml:space="preserve"> – </w:t>
      </w:r>
      <w:proofErr w:type="gramStart"/>
      <w:r>
        <w:rPr>
          <w:rFonts w:ascii="Times New Roman" w:hAnsi="Times New Roman"/>
          <w:sz w:val="24"/>
          <w:szCs w:val="24"/>
        </w:rPr>
        <w:t>и</w:t>
      </w:r>
      <w:proofErr w:type="gramEnd"/>
      <w:r>
        <w:rPr>
          <w:rFonts w:ascii="Times New Roman" w:hAnsi="Times New Roman"/>
          <w:sz w:val="24"/>
          <w:szCs w:val="24"/>
        </w:rPr>
        <w:t xml:space="preserve">меют зависимость от азартных игр. В первых двух случаях в суде необходимо приводить доказательства того, что пьющий или злоупотребляющий наркотическими веществами человек ставит членов своей семьи в тяжелое материальное положение. Существуют и иные обстоятельства, которые могут создавать сложности с материальным обеспечением семьи, например, страсть к коллекционированию или азартные игры.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Однако они уже не могут стать причинами для ограничения дееспособности человека, даже если подрывают семейный бюджет сильнее, чем систематическое употребление алкоголя или наркотиков. Злоупотребление гражданином спиртными напитками или наркотическими веществами само по себе достаточно свидетельствует о необходимости вмешательства в его действия со стороны государства, однако гражданское право не имеет цели излечения лиц от алкоголизма или наркомании, равно как и не имеет цели наказать их за подобные злоупотребления. Регулирование </w:t>
      </w:r>
      <w:r>
        <w:rPr>
          <w:rFonts w:ascii="Times New Roman" w:hAnsi="Times New Roman"/>
          <w:sz w:val="24"/>
          <w:szCs w:val="24"/>
        </w:rPr>
        <w:lastRenderedPageBreak/>
        <w:t>имущественных отношений в ситуации с гражданами, злоупотребляющими спиртными напитками и наркотическими веществами, предполагает вмешательство государства только при условии, что этот гражданин своими действиями ставит в тяжелое материальное положение свою семью.</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 Постановлении Пленума Верховного Суда РФ от 23.06.2015 № 25 «О применении судами некоторых положений раздела I части первой Гражданского кодекса Российской Федерации» [5] судам разъяснено, что злоупотреблением спиртными напитками или наркотическими веществами следует считать такое чрезмерное или систематическое их употребление, которое находится в противоречии с интересами семьи и влечет за собой непосильные расходы денежных средств на их приобретение.</w:t>
      </w:r>
      <w:proofErr w:type="gramEnd"/>
      <w:r>
        <w:rPr>
          <w:rFonts w:ascii="Times New Roman" w:hAnsi="Times New Roman"/>
          <w:sz w:val="24"/>
          <w:szCs w:val="24"/>
        </w:rPr>
        <w:t xml:space="preserve"> Если семья не получает необходимых средств от лица, злоупотребляющего спиртными напитками, либо вынуждена его содержать, то данное лицо может быть ограничено в дееспособности, хотя другие члены его семьи и имели самостоятельный заработок.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Так, в юридической литературе по рассматриваемому вопросу справедливо отмечается, что ограничение дееспособности имеет целью защиту имущественных интересов семьи. Если одинокий гражданин злоупотребляет спиртными напитками и вследствие этого «пропивает» собственное имущество, можно ставить вопрос о его лечении, но основания для ограничения его в дееспособности нет [6].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Правовые последствия ограничения дееспособности лиц, злоупотребляющих спиртными напитками или наркотическими веществами, не исчерпываются ст. 30 ГК РФ. По нормам СК РФ они не вправе быть усыновителями, опекунами, попечителями, могут быть лишены родительских прав либо ограничены в родительских правах. Родители, ограниченные в дееспособности, не вправе совершать сделки по распоряжению имуществом от имени своих детей или давать согласие на совершение ими сделок. Перечень оснований для ограничения дееспособности граждан в законе исчерпывающий, </w:t>
      </w:r>
      <w:proofErr w:type="gramStart"/>
      <w:r>
        <w:rPr>
          <w:rFonts w:ascii="Times New Roman" w:hAnsi="Times New Roman"/>
          <w:sz w:val="24"/>
          <w:szCs w:val="24"/>
        </w:rPr>
        <w:t>однако</w:t>
      </w:r>
      <w:proofErr w:type="gramEnd"/>
      <w:r>
        <w:rPr>
          <w:rFonts w:ascii="Times New Roman" w:hAnsi="Times New Roman"/>
          <w:sz w:val="24"/>
          <w:szCs w:val="24"/>
        </w:rPr>
        <w:t xml:space="preserve"> практика показывает необходимость введения дополнительных оснований, в частности, поставить в тяжелое материальное положение свою семью можно и азартными играми, и рискованным ведением предпринимательской деятельности, и неуемным коллекционированием и т. п.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В настоящее же время ограничить граждан в дееспособности по подобным основаниям нельзя. Поэтому законодателю надо пересмотреть свою позицию в отношении этого вопроса. </w:t>
      </w:r>
    </w:p>
    <w:p w:rsidR="00E64C65" w:rsidRDefault="00E64C65" w:rsidP="00E64C65">
      <w:pPr>
        <w:spacing w:after="0" w:line="360" w:lineRule="auto"/>
        <w:ind w:firstLine="709"/>
        <w:jc w:val="both"/>
        <w:rPr>
          <w:rFonts w:ascii="Times New Roman" w:hAnsi="Times New Roman"/>
          <w:sz w:val="24"/>
          <w:szCs w:val="24"/>
        </w:rPr>
      </w:pPr>
      <w:r>
        <w:rPr>
          <w:rFonts w:ascii="Times New Roman" w:hAnsi="Times New Roman"/>
          <w:sz w:val="24"/>
          <w:szCs w:val="24"/>
        </w:rPr>
        <w:t xml:space="preserve">Таким образом, обобщая изложенное в настоящей статье, необходимо отметить, что понятие дееспособности раскрывается в ГК РФ как способность фактически реализовать дарованную каждому человеку от рождения правоспособность. </w:t>
      </w:r>
      <w:r>
        <w:rPr>
          <w:rFonts w:ascii="Times New Roman" w:hAnsi="Times New Roman"/>
          <w:sz w:val="24"/>
          <w:szCs w:val="24"/>
        </w:rPr>
        <w:lastRenderedPageBreak/>
        <w:t xml:space="preserve">Дееспособность расширяется поэтапно в ходе взросления человека. Дееспособность совместно с правоспособностью образуют такую юридическую категорию как </w:t>
      </w:r>
      <w:proofErr w:type="spellStart"/>
      <w:r>
        <w:rPr>
          <w:rFonts w:ascii="Times New Roman" w:hAnsi="Times New Roman"/>
          <w:sz w:val="24"/>
          <w:szCs w:val="24"/>
        </w:rPr>
        <w:t>правосубъектность</w:t>
      </w:r>
      <w:proofErr w:type="spellEnd"/>
      <w:r>
        <w:rPr>
          <w:rFonts w:ascii="Times New Roman" w:hAnsi="Times New Roman"/>
          <w:sz w:val="24"/>
          <w:szCs w:val="24"/>
        </w:rPr>
        <w:t xml:space="preserve">. При этом можно уверенно говорить о том, что дееспособность оказывает содействие лицу в процессе использования его прав в достижении цели или решении какой-либо проблемы. </w:t>
      </w:r>
    </w:p>
    <w:p w:rsidR="00E64C65" w:rsidRDefault="00E64C65" w:rsidP="00E64C65">
      <w:pPr>
        <w:pStyle w:val="a3"/>
        <w:spacing w:before="0" w:after="0" w:line="360" w:lineRule="auto"/>
        <w:ind w:firstLine="709"/>
        <w:jc w:val="both"/>
        <w:textAlignment w:val="top"/>
        <w:rPr>
          <w:color w:val="000000"/>
        </w:rPr>
      </w:pPr>
      <w:r>
        <w:rPr>
          <w:color w:val="000000"/>
        </w:rPr>
        <w:t>Список литературы:</w:t>
      </w:r>
    </w:p>
    <w:p w:rsidR="00E64C65" w:rsidRDefault="00E64C65" w:rsidP="00E64C65">
      <w:pPr>
        <w:pStyle w:val="a3"/>
        <w:spacing w:before="0" w:after="0" w:line="360" w:lineRule="auto"/>
        <w:ind w:firstLine="709"/>
        <w:jc w:val="both"/>
        <w:textAlignment w:val="top"/>
        <w:rPr>
          <w:color w:val="000000"/>
        </w:rPr>
      </w:pPr>
      <w:r>
        <w:rPr>
          <w:color w:val="000000"/>
        </w:rPr>
        <w:t xml:space="preserve">1. Анисимов А. П., Козлова М. Ю., Рыженков А. Я. Гражданское право России / 5-е изд., </w:t>
      </w:r>
      <w:proofErr w:type="spellStart"/>
      <w:r>
        <w:rPr>
          <w:color w:val="000000"/>
        </w:rPr>
        <w:t>перераб</w:t>
      </w:r>
      <w:proofErr w:type="spellEnd"/>
      <w:r>
        <w:rPr>
          <w:color w:val="000000"/>
        </w:rPr>
        <w:t xml:space="preserve">. и доп. - М.: Издательство </w:t>
      </w:r>
      <w:proofErr w:type="spellStart"/>
      <w:r>
        <w:rPr>
          <w:color w:val="000000"/>
        </w:rPr>
        <w:t>Юрайт</w:t>
      </w:r>
      <w:proofErr w:type="spellEnd"/>
      <w:r>
        <w:rPr>
          <w:color w:val="000000"/>
        </w:rPr>
        <w:t>, 2022. 436 с.</w:t>
      </w:r>
    </w:p>
    <w:p w:rsidR="00E64C65" w:rsidRDefault="00E64C65" w:rsidP="00E64C65">
      <w:pPr>
        <w:pStyle w:val="a3"/>
        <w:spacing w:before="0" w:after="0" w:line="360" w:lineRule="auto"/>
        <w:ind w:firstLine="709"/>
        <w:jc w:val="both"/>
        <w:textAlignment w:val="top"/>
        <w:rPr>
          <w:color w:val="000000"/>
        </w:rPr>
      </w:pPr>
      <w:r>
        <w:rPr>
          <w:color w:val="000000"/>
        </w:rPr>
        <w:t>2. Лахметкина Ю. С. Некоторые проблемы применения законодательства о недееспособности граждан и пути их решения // Актуальные проблемы права, № 6, 2017. с. 47-50.</w:t>
      </w:r>
    </w:p>
    <w:p w:rsidR="00E64C65" w:rsidRDefault="00E64C65" w:rsidP="00E64C65">
      <w:pPr>
        <w:pStyle w:val="a3"/>
        <w:spacing w:before="0" w:after="0" w:line="360" w:lineRule="auto"/>
        <w:ind w:firstLine="709"/>
        <w:jc w:val="both"/>
        <w:textAlignment w:val="top"/>
        <w:rPr>
          <w:color w:val="000000"/>
        </w:rPr>
      </w:pPr>
      <w:r>
        <w:rPr>
          <w:color w:val="000000"/>
        </w:rPr>
        <w:t xml:space="preserve">3. Белов В. А. Гражданское право / 2-е изд., </w:t>
      </w:r>
      <w:proofErr w:type="spellStart"/>
      <w:r>
        <w:rPr>
          <w:color w:val="000000"/>
        </w:rPr>
        <w:t>перераб</w:t>
      </w:r>
      <w:proofErr w:type="spellEnd"/>
      <w:r>
        <w:rPr>
          <w:color w:val="000000"/>
        </w:rPr>
        <w:t xml:space="preserve">. и доп. - М.: Издательство </w:t>
      </w:r>
      <w:proofErr w:type="spellStart"/>
      <w:r>
        <w:rPr>
          <w:color w:val="000000"/>
        </w:rPr>
        <w:t>Юрайт</w:t>
      </w:r>
      <w:proofErr w:type="spellEnd"/>
      <w:r>
        <w:rPr>
          <w:color w:val="000000"/>
        </w:rPr>
        <w:t>, 2022. 454 с.</w:t>
      </w:r>
    </w:p>
    <w:p w:rsidR="00E64C65" w:rsidRDefault="00E64C65" w:rsidP="00E64C65">
      <w:pPr>
        <w:pStyle w:val="a3"/>
        <w:spacing w:before="0" w:after="0" w:line="360" w:lineRule="auto"/>
        <w:ind w:firstLine="709"/>
        <w:jc w:val="both"/>
        <w:textAlignment w:val="top"/>
        <w:rPr>
          <w:color w:val="000000"/>
        </w:rPr>
      </w:pPr>
      <w:r>
        <w:rPr>
          <w:color w:val="000000"/>
        </w:rPr>
        <w:t>4. Решение № 2-12194/2019 2-2389/2020 2-2389/2020(2-12194/2019;)~М-15601/2019 М-15601/2019 от 10 февраля 2020 г. по делу № 2-12194/2019 // [Электронный ресурс] URL: https://su</w:t>
      </w:r>
      <w:r w:rsidR="003C49CB">
        <w:rPr>
          <w:color w:val="000000"/>
        </w:rPr>
        <w:t>dact.ru/regular/doc/lnnp3CQWFJ8</w:t>
      </w:r>
      <w:r>
        <w:rPr>
          <w:color w:val="000000"/>
        </w:rPr>
        <w:t>.</w:t>
      </w:r>
    </w:p>
    <w:p w:rsidR="00E64C65" w:rsidRDefault="00E64C65" w:rsidP="00E64C65">
      <w:pPr>
        <w:pStyle w:val="a3"/>
        <w:spacing w:before="0" w:after="0" w:line="360" w:lineRule="auto"/>
        <w:ind w:firstLine="709"/>
        <w:jc w:val="both"/>
        <w:textAlignment w:val="top"/>
        <w:rPr>
          <w:color w:val="000000"/>
        </w:rPr>
      </w:pPr>
      <w:r>
        <w:rPr>
          <w:color w:val="000000"/>
        </w:rPr>
        <w:t>5. Шутова В. И. Некоторые вопросы применения норм о признании гражданина недееспособным и пути их решения // Отечественная юриспруденция, №4, 2017. с. 59-63.</w:t>
      </w:r>
    </w:p>
    <w:p w:rsidR="00AF3084" w:rsidRDefault="00AF3084"/>
    <w:sectPr w:rsidR="00AF3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BA"/>
    <w:rsid w:val="003C49CB"/>
    <w:rsid w:val="00A21FBA"/>
    <w:rsid w:val="00AF3084"/>
    <w:rsid w:val="00E64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65"/>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4C65"/>
    <w:pPr>
      <w:suppressAutoHyphens/>
      <w:spacing w:before="280" w:after="280"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65"/>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4C65"/>
    <w:pPr>
      <w:suppressAutoHyphens/>
      <w:spacing w:before="280" w:after="28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1725</Words>
  <Characters>9839</Characters>
  <Application>Microsoft Office Word</Application>
  <DocSecurity>0</DocSecurity>
  <Lines>81</Lines>
  <Paragraphs>23</Paragraphs>
  <ScaleCrop>false</ScaleCrop>
  <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5</cp:revision>
  <dcterms:created xsi:type="dcterms:W3CDTF">2025-02-05T06:19:00Z</dcterms:created>
  <dcterms:modified xsi:type="dcterms:W3CDTF">2025-02-05T07:23:00Z</dcterms:modified>
</cp:coreProperties>
</file>