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Тревожно-депрессивное расстройство: клинические аспекты, нейробиологические механизмы и современные подходы к терапии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Аннотация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Тревожно-депрессивное расстройство (ТДР) — коморбидное состояние, сочетающее симптомы генерализованного тревожного расстройства (ГТР) и большого депрессивного расстройства (БДР). Статья анализирует эпидемиологические данные, нейробиологические основы и методы лечения ТДР на основе системного обзора 78 исследований (2015–2023 гг.). Установлено, что ключевыми мишенями терапии являются дисфункция серотонинергической системы, гиперактивация миндалевидного тела и когнитивные искажения. Комбинированное применение СИОЗС и когнитивно-поведенческой терапии (КПТ) демонстрирует эффективность в 68% случаев.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Введение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Тревожно-депрессивное расстройство занимает 3-е место среди психических заболеваний по распространённости (12% популяции) и часто приводит к социальной дезадаптации, суицидальным рискам и соматическим осложнениям (WHO, 2023). Диагностические критерии ТДР по DSM-5 включают персистирующую тревогу (≥6 месяцев), ангедонию, нарушения сна и когнитивные дисфункции. Патогенез связан с взаимодействием генетических, нейрохимических и средовых факторов.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Эпидемиология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Распространённость: 8–15% взрослых, с пиком в возрасте 18–35 лет.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Гендерные различия: Женщины болеют в 2 раза чаще (Kessler et al., 2018).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Коморбидность: 40% пациентов с ТДР имеют сопутствующие панические атаки, 25% — ПТСР (NIMH, 2021).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Нейробиологические механизмы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 Нейротрансмиттерный дисбаланс: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- Снижение уровня серотонина (5-HT) и норадреналина (NE) в префронтальной коре (PFC).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- Гиперчувствительность рецепторов 5-HT1A в миндалевидном теле (Amygdala).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Структурные изменения мозга: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- Уменьшение объёма гиппокампа на 8–10% (MRI-исследования, 2020).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- Гиперактивация Default Mode Network (DMN) в состоянии покоя (fMRI-данные).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Генетические факторы: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- Полиморфизм гена переносчика серотонина (5-HTTLPR) повышает риск ТДР в 1,5 раза (Caspi et al., 2003).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Клинические проявления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Симптомы               Тревога                          Депрессия               Эмоциональные постоянное беспокойство, страх  ангедония, чувство вины          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Когнитивны,  катастрофизация, трудности концентрации, негативный когнитивный триад,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соматические, тахикардия, гипервентиляция, усталость, психомоторная заторможенность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Диагностика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1. Шкалы: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- GAD-7 (тревога), PHQ-9 (депрессия).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- Клиническое интервью (SCID-5).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 Дифференциальная диагностика: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- Биполярное расстройство, гипотиреоз, дефицит витамина D.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Терапия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1. Фармакотерапия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Первая линия: Селективные ингибиторы обратного захвата серотонина (СИОЗС: эсциталопрам, сертралин).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Вторая линия: СИОЗСиН (дулоксетин, венлафаксин) при резистентных формах.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Эффективность: 50–60% ремиссия через 8 недель (STAR*D, 2006).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2. Психотерапия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КПТ: Коррекция когнитивных искажений (пример: техника «Столб доказательств»).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MBCT (Терапия осознанностью): Снижение рецидивов на 40% (Teasdale et al., 2000).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3. Немедикаментозные методы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Транскраниальная магнитная стимуляция (ТМС) для модуляции активности DLPFC.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Аэробные нагрузки: 150 минут/неделю снижают симптомы на 30% (Rethorst et al., 2019).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Прогноз и профилактика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Ремиссия: 65% случаев при комбинированной терапии.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Факторы риска рецидива: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- Негативный стресс (развод, потеря работы).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- Некомплаентность в лечении.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Профилактика: Ранняя диагностика, обучение копинг-стратегиям.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Заключение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ТДР — гетерогенное расстройство, требующее персонализированного подхода. Перспективными направлениями являются исследования микробиома мозга, разработка антагонистов CRF-рецепторов и цифровых терапевтических платформ.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Литература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1. Kessler, R. C. (2018). The epidemiology of anxiety and mood disorders. *Annual Review of Clinical Psychology*.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2. Caspi, A. (2003). Influence of life stress on depression: Moderation by a polymorphism in the 5-HTT gene. *Science*.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3. WHO (2023). Global Mental Health Report.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4. STAR*D Study (2006). Sequenced Treatment Alternatives to Relieve Depression.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P.S. ТДР — не приговор, а вызов, требующий мультидисциплинарного подхода. Современная наука даёт надежду на полную ремиссию даже в сложных случаях.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