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E34" w:rsidRPr="00D21039" w:rsidRDefault="00407E34" w:rsidP="00D21039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D21039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Н</w:t>
      </w:r>
      <w:r w:rsidRPr="00D210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алоговая реформа: что меняется в </w:t>
      </w:r>
      <w:r w:rsidR="00D21039" w:rsidRPr="00D210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НК РФ </w:t>
      </w:r>
      <w:r w:rsidRPr="00D210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 2025 года</w:t>
      </w:r>
      <w:bookmarkStart w:id="0" w:name="_GoBack"/>
      <w:bookmarkEnd w:id="0"/>
    </w:p>
    <w:p w:rsidR="00407E34" w:rsidRPr="00D21039" w:rsidRDefault="00407E34" w:rsidP="00D21039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407E34" w:rsidRPr="00D21039" w:rsidRDefault="00EF37B5" w:rsidP="002130EF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D2103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12.07.2024 </w:t>
      </w:r>
      <w:r w:rsidR="002130E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года </w:t>
      </w:r>
      <w:r w:rsidR="00407E34" w:rsidRPr="00D2103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был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опубликован Федеральный закон</w:t>
      </w:r>
      <w:r w:rsidR="00407E34" w:rsidRPr="00D2103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№ 176-ФЗ  </w:t>
      </w:r>
      <w:r w:rsidR="002130E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Закон о налоговой реформе</w:t>
      </w:r>
      <w:r w:rsidR="00407E34" w:rsidRPr="00D2103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="00407E34" w:rsidRPr="00D2103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gramStart"/>
      <w:r w:rsidR="00407E34" w:rsidRPr="00D2103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Налоговая реформа 2025 года окажет заметное влияние на бизнес, особенно на средний и малый, а также на обычных физических лиц. </w:t>
      </w:r>
      <w:proofErr w:type="gramEnd"/>
    </w:p>
    <w:p w:rsidR="006D2DE8" w:rsidRPr="00EF37B5" w:rsidRDefault="00D21039" w:rsidP="00D210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7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</w:t>
      </w:r>
      <w:r w:rsidR="006D2DE8" w:rsidRPr="00EF37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асшта</w:t>
      </w:r>
      <w:r w:rsidR="00EF37B5" w:rsidRPr="00EF37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бные налоговые изменения, внесе</w:t>
      </w:r>
      <w:r w:rsidR="006D2DE8" w:rsidRPr="00EF37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ны</w:t>
      </w:r>
      <w:r w:rsidRPr="00EF37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следующими законами</w:t>
      </w:r>
      <w:r w:rsidR="006D2DE8" w:rsidRPr="00EF37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</w:p>
    <w:p w:rsidR="006D2DE8" w:rsidRPr="00EF37B5" w:rsidRDefault="00AB24D1" w:rsidP="00EF37B5">
      <w:pPr>
        <w:numPr>
          <w:ilvl w:val="0"/>
          <w:numId w:val="5"/>
        </w:numPr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tgtFrame="_blank" w:history="1">
        <w:r w:rsidR="006D2DE8" w:rsidRPr="00EF37B5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 xml:space="preserve">Федеральным законом от 12.07.2024 </w:t>
        </w:r>
        <w:r w:rsidR="00EF37B5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№</w:t>
        </w:r>
        <w:r w:rsidR="006D2DE8" w:rsidRPr="00EF37B5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 xml:space="preserve"> 176-ФЗ</w:t>
        </w:r>
      </w:hyperlink>
      <w:r w:rsidR="00EF37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6D2DE8" w:rsidRPr="00EF37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</w:p>
    <w:p w:rsidR="006D2DE8" w:rsidRPr="00EF37B5" w:rsidRDefault="00AB24D1" w:rsidP="00EF37B5">
      <w:pPr>
        <w:numPr>
          <w:ilvl w:val="0"/>
          <w:numId w:val="5"/>
        </w:numPr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tgtFrame="_blank" w:history="1">
        <w:r w:rsidR="006D2DE8" w:rsidRPr="00EF37B5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 xml:space="preserve">Федеральным законом от 08.08.2024 </w:t>
        </w:r>
        <w:r w:rsidR="00EF37B5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№</w:t>
        </w:r>
        <w:r w:rsidR="006D2DE8" w:rsidRPr="00EF37B5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 xml:space="preserve"> 259-ФЗ</w:t>
        </w:r>
      </w:hyperlink>
      <w:r w:rsidR="00EF37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6D2DE8" w:rsidRPr="00EF37B5" w:rsidRDefault="00AB24D1" w:rsidP="00EF37B5">
      <w:pPr>
        <w:numPr>
          <w:ilvl w:val="0"/>
          <w:numId w:val="5"/>
        </w:numPr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tgtFrame="_blank" w:history="1">
        <w:r w:rsidR="006D2DE8" w:rsidRPr="00EF37B5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 xml:space="preserve">Федеральным законом от 29.10.2024 </w:t>
        </w:r>
        <w:r w:rsidR="002130EF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 xml:space="preserve">№ </w:t>
        </w:r>
        <w:r w:rsidR="006D2DE8" w:rsidRPr="00EF37B5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362-ФЗ</w:t>
        </w:r>
      </w:hyperlink>
      <w:r w:rsidR="00EF37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6D2DE8" w:rsidRPr="00EF37B5" w:rsidRDefault="00AB24D1" w:rsidP="00EF37B5">
      <w:pPr>
        <w:numPr>
          <w:ilvl w:val="0"/>
          <w:numId w:val="5"/>
        </w:numPr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tgtFrame="_blank" w:history="1">
        <w:r w:rsidR="006D2DE8" w:rsidRPr="00EF37B5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 xml:space="preserve">Федеральным законом от 29.11.2024 </w:t>
        </w:r>
        <w:r w:rsidR="002130EF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№</w:t>
        </w:r>
        <w:r w:rsidR="006D2DE8" w:rsidRPr="00EF37B5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 xml:space="preserve"> 416-ФЗ</w:t>
        </w:r>
      </w:hyperlink>
      <w:r w:rsidR="00EF37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6D2DE8" w:rsidRPr="00EF37B5" w:rsidRDefault="00EF37B5" w:rsidP="00D210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Рассмотрим</w:t>
      </w:r>
      <w:r w:rsidR="006D2DE8" w:rsidRPr="00EF37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многочисленные нюансы налоговой реформы в НК РФ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более подробно.</w:t>
      </w:r>
    </w:p>
    <w:p w:rsidR="006D2DE8" w:rsidRPr="00D21039" w:rsidRDefault="006D2DE8" w:rsidP="00D21039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1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="002130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алог на добавленную стоимость</w:t>
      </w:r>
    </w:p>
    <w:p w:rsidR="006D2DE8" w:rsidRPr="00D21039" w:rsidRDefault="006D2DE8" w:rsidP="00D210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 1 апреля 2025 года можно применять два формата счета-фактуры и УПД: основной </w:t>
      </w:r>
      <w:r w:rsidR="002130E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 реквизитом «Стоимость товара, подлежащего </w:t>
      </w:r>
      <w:proofErr w:type="spellStart"/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прослеживаемости</w:t>
      </w:r>
      <w:proofErr w:type="spellEnd"/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>» </w:t>
      </w:r>
      <w:r w:rsidR="002130E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временный </w:t>
      </w:r>
      <w:r w:rsidR="002130E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 такого реквизита. После 1 апреля </w:t>
      </w:r>
      <w:r w:rsidR="002130E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один формат. Об этом говорит Приказ ФНС России </w:t>
      </w:r>
      <w:hyperlink r:id="rId10" w:tgtFrame="_blank" w:history="1">
        <w:r w:rsidRPr="00D210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 19.12.2023 № ЕД-7-26/970@</w:t>
        </w:r>
      </w:hyperlink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2DE8" w:rsidRPr="00D21039" w:rsidRDefault="006D2DE8" w:rsidP="00D210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Напомним, что организации и ИП </w:t>
      </w:r>
      <w:r w:rsidR="002130E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продавцы товаров, подлежащих </w:t>
      </w:r>
      <w:proofErr w:type="spellStart"/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прослеживаемости</w:t>
      </w:r>
      <w:proofErr w:type="spellEnd"/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>, в большинстве случаев должны выставлять счета-фактуры в электронной форме. Это правило распространяется также на передачу прослеживаемых товаров в составе выполненных работ (п. 1.1 ст. </w:t>
      </w:r>
      <w:hyperlink r:id="rId11" w:anchor="h4442" w:tgtFrame="_blank" w:history="1">
        <w:r w:rsidRPr="00D210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169</w:t>
        </w:r>
      </w:hyperlink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НК РФ). Выставлять счета-фактуры продавец должен и в тех ситуациях, когда покупатель не является плательщиком НДС или освобожден от обязанностей налогоплательщика (</w:t>
      </w:r>
      <w:proofErr w:type="spellStart"/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>. 1 п. 3 ст. </w:t>
      </w:r>
      <w:hyperlink r:id="rId12" w:anchor="h4442" w:tgtFrame="_blank" w:history="1">
        <w:r w:rsidRPr="00D210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169</w:t>
        </w:r>
      </w:hyperlink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>  НК РФ).</w:t>
      </w:r>
    </w:p>
    <w:p w:rsidR="006D2DE8" w:rsidRPr="00D21039" w:rsidRDefault="006D2DE8" w:rsidP="00D210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отличается счет-фактура по прослеживаемым товарам? В нем помимо общих сведений необходимо указывать реквизиты </w:t>
      </w:r>
      <w:proofErr w:type="spellStart"/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прослеживаемости</w:t>
      </w:r>
      <w:proofErr w:type="spellEnd"/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proofErr w:type="spellStart"/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>. 16–19 п. 5 ст. </w:t>
      </w:r>
      <w:hyperlink r:id="rId13" w:anchor="h4442" w:tgtFrame="_blank" w:history="1">
        <w:r w:rsidRPr="00D210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169</w:t>
        </w:r>
      </w:hyperlink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НК РФ, а именно:</w:t>
      </w:r>
    </w:p>
    <w:p w:rsidR="006D2DE8" w:rsidRPr="00D21039" w:rsidRDefault="006D2DE8" w:rsidP="002130EF">
      <w:pPr>
        <w:numPr>
          <w:ilvl w:val="0"/>
          <w:numId w:val="6"/>
        </w:numPr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регистрационный номер партии товара, подлежащего </w:t>
      </w:r>
      <w:proofErr w:type="spellStart"/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прослеживаемости</w:t>
      </w:r>
      <w:proofErr w:type="spellEnd"/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2DE8" w:rsidRPr="00D21039" w:rsidRDefault="006D2DE8" w:rsidP="002130EF">
      <w:pPr>
        <w:numPr>
          <w:ilvl w:val="0"/>
          <w:numId w:val="6"/>
        </w:numPr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количественную единицу измерения товара, используемую для </w:t>
      </w:r>
      <w:proofErr w:type="spellStart"/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прослеживаемости</w:t>
      </w:r>
      <w:proofErr w:type="spellEnd"/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2DE8" w:rsidRPr="00D21039" w:rsidRDefault="006D2DE8" w:rsidP="002130EF">
      <w:pPr>
        <w:numPr>
          <w:ilvl w:val="0"/>
          <w:numId w:val="6"/>
        </w:numPr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товара;</w:t>
      </w:r>
    </w:p>
    <w:p w:rsidR="006D2DE8" w:rsidRPr="00D21039" w:rsidRDefault="006D2DE8" w:rsidP="002130EF">
      <w:pPr>
        <w:numPr>
          <w:ilvl w:val="0"/>
          <w:numId w:val="6"/>
        </w:numPr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товара.</w:t>
      </w:r>
    </w:p>
    <w:p w:rsidR="006D2DE8" w:rsidRPr="00D21039" w:rsidRDefault="006D2DE8" w:rsidP="00D210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организация или ИП на упрощенной системе налогообложения планируют операции с прослеживаемыми товарами, им придется вместо счетов-фактур оформлять УПД с отражением реквизитов </w:t>
      </w:r>
      <w:proofErr w:type="spellStart"/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прослеживаемости</w:t>
      </w:r>
      <w:proofErr w:type="spellEnd"/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товаров при реализации или передаче таких товаров (</w:t>
      </w:r>
      <w:proofErr w:type="spellStart"/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>. «г» п. 13 Постановления Правительства РФ </w:t>
      </w:r>
      <w:hyperlink r:id="rId14" w:tgtFrame="_blank" w:history="1">
        <w:r w:rsidRPr="00D210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 01.07.2021 № 1108</w:t>
        </w:r>
      </w:hyperlink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D2DE8" w:rsidRPr="00D21039" w:rsidRDefault="006D2DE8" w:rsidP="00D21039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1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="00F541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алог на доходы физических лиц</w:t>
      </w:r>
    </w:p>
    <w:p w:rsidR="006D2DE8" w:rsidRPr="00D21039" w:rsidRDefault="006D2DE8" w:rsidP="00D210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>С 1 января 2025 года изменится прогрессивная шкала НДФЛ: повышенные ставки будут применять с дохода свыше 2,4 </w:t>
      </w:r>
      <w:proofErr w:type="gramStart"/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Для зарплаты предусмотрено пять ставок:</w:t>
      </w:r>
    </w:p>
    <w:p w:rsidR="006D2DE8" w:rsidRPr="00D21039" w:rsidRDefault="006D2DE8" w:rsidP="00F5416C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>13%;</w:t>
      </w:r>
    </w:p>
    <w:p w:rsidR="006D2DE8" w:rsidRPr="00D21039" w:rsidRDefault="006D2DE8" w:rsidP="00F5416C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15% </w:t>
      </w:r>
      <w:r w:rsidR="00F5416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 дохода свыше 2,4 млн</w:t>
      </w:r>
      <w:r w:rsidR="00F541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руб.;</w:t>
      </w:r>
    </w:p>
    <w:p w:rsidR="006D2DE8" w:rsidRPr="00D21039" w:rsidRDefault="006D2DE8" w:rsidP="00F5416C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18% </w:t>
      </w:r>
      <w:r w:rsidR="00F5416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 дохода свыше 5 млн</w:t>
      </w:r>
      <w:r w:rsidR="00F541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руб.;</w:t>
      </w:r>
    </w:p>
    <w:p w:rsidR="006D2DE8" w:rsidRPr="00D21039" w:rsidRDefault="006D2DE8" w:rsidP="00F5416C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20% </w:t>
      </w:r>
      <w:r w:rsidR="00F5416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 дохода свыше 20 млн</w:t>
      </w:r>
      <w:r w:rsidR="00F541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руб.;</w:t>
      </w:r>
    </w:p>
    <w:p w:rsidR="006D2DE8" w:rsidRPr="00D21039" w:rsidRDefault="006D2DE8" w:rsidP="00F5416C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22% </w:t>
      </w:r>
      <w:r w:rsidR="00F5416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 дохода свыше 50 млн</w:t>
      </w:r>
      <w:r w:rsidR="00F541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:rsidR="006D2DE8" w:rsidRPr="00D21039" w:rsidRDefault="006D2DE8" w:rsidP="00D210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 доходов от продажи имущества и операций с ценными бумагами, дивидендов, страховых выплат, процентов по вкладам две ставки </w:t>
      </w:r>
      <w:r w:rsidR="0059778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 и 15% (п. 39 ст. 2 Федерального закона </w:t>
      </w:r>
      <w:hyperlink r:id="rId15" w:tgtFrame="_blank" w:history="1">
        <w:r w:rsidRPr="00D210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 12.07.2024 № 176-ФЗ</w:t>
        </w:r>
      </w:hyperlink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D2DE8" w:rsidRPr="00D21039" w:rsidRDefault="006D2DE8" w:rsidP="00D210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Увеличены вычеты на детей: на второго ребенка </w:t>
      </w:r>
      <w:r w:rsidR="0059778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2 800 руб., на третьего и последующего </w:t>
      </w:r>
      <w:r w:rsidR="0059778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6 000 руб., а также предельный размер дохода для вычетов на детей </w:t>
      </w:r>
      <w:r w:rsidR="0059778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450 000 руб. (п. 28 ст. 2 Закона № 176).</w:t>
      </w:r>
    </w:p>
    <w:p w:rsidR="006D2DE8" w:rsidRPr="00D21039" w:rsidRDefault="006D2DE8" w:rsidP="00D210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Появится вычет 18 000 руб. за год для </w:t>
      </w:r>
      <w:r w:rsidR="00F11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>сдавших</w:t>
      </w:r>
      <w:proofErr w:type="gramEnd"/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нормы ГТО и прошедших диспансеризацию. Согласно изменениям в НК РФ, этот вычет распространяется на лиц, выполнивших нормативы всероссийского физкультурно-спортивного комплекса «Готов к труду и обороне», </w:t>
      </w: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соответствующие их возрастной группе, награжденных знаком отличия, при условии прохождения налогоплательщиком диспансеризации в соответствующем календарном году.</w:t>
      </w:r>
    </w:p>
    <w:p w:rsidR="006D2DE8" w:rsidRPr="00D21039" w:rsidRDefault="006D2DE8" w:rsidP="00D21039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1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Взносы</w:t>
      </w:r>
      <w:r w:rsidR="00F111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 внебюджетные фонды</w:t>
      </w:r>
    </w:p>
    <w:p w:rsidR="006D2DE8" w:rsidRPr="00D21039" w:rsidRDefault="006D2DE8" w:rsidP="00D210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 1 января 2025 года будет еще один пониженный тариф </w:t>
      </w:r>
      <w:r w:rsidR="00F1115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7,6% с выплат </w:t>
      </w:r>
      <w:proofErr w:type="gramStart"/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</w:t>
      </w:r>
      <w:proofErr w:type="gramEnd"/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МРОТ в месяц для МСП. Но не для всех МСП, а только для тех, у которых основной вид деятельности включен в ОКВЭД в раздел «Обрабатывающие производства» (п. 84 ст. 2 Закона </w:t>
      </w:r>
      <w:hyperlink r:id="rId16" w:tgtFrame="_blank" w:history="1">
        <w:r w:rsidRPr="00D210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 176-ФЗ</w:t>
        </w:r>
      </w:hyperlink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D2DE8" w:rsidRPr="00D21039" w:rsidRDefault="006D2DE8" w:rsidP="00D210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пониженный тариф равен 15% с выплат </w:t>
      </w:r>
      <w:proofErr w:type="gramStart"/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</w:t>
      </w:r>
      <w:proofErr w:type="gramEnd"/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МРОТ для всех МСП.</w:t>
      </w:r>
    </w:p>
    <w:p w:rsidR="006D2DE8" w:rsidRPr="00D21039" w:rsidRDefault="006D2DE8" w:rsidP="00D210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 МСП применяет вышеупомянутые пониженные тарифы страховых взносов с 1-го числа месяца, в котором сведения о ней внесены в единый реестр субъектов МСП, и до 1-го числа месяца, в котором она исключена из единого реестра субъектов МСП (Письмо Минфина России </w:t>
      </w:r>
      <w:hyperlink r:id="rId17" w:tgtFrame="_blank" w:history="1">
        <w:r w:rsidRPr="00D210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 20.01.2022 № 03-15-05/2932</w:t>
        </w:r>
      </w:hyperlink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D2DE8" w:rsidRPr="00D21039" w:rsidRDefault="006D2DE8" w:rsidP="00D210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субъект МСП должен применять, но не применяет пониженный тариф взносов, то возникает еще одна проблема </w:t>
      </w:r>
      <w:r w:rsidR="00F1115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завышаются расходы, принимаемые в целях налога на прибыль. Как известно, страховые взносы учитываются в прочих расходах, связанных с производством и реализацией (</w:t>
      </w:r>
      <w:proofErr w:type="spellStart"/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>. 1 п. 1 ст. </w:t>
      </w:r>
      <w:hyperlink r:id="rId18" w:anchor="h9146" w:tgtFrame="_blank" w:history="1">
        <w:r w:rsidRPr="00D2103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264</w:t>
        </w:r>
      </w:hyperlink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НК РФ). В итоге занижаются прибыль и налог на прибыль со всеми вытекающими последствиями в виде штрафов и пеней.</w:t>
      </w:r>
    </w:p>
    <w:p w:rsidR="006D2DE8" w:rsidRPr="00D21039" w:rsidRDefault="006D2DE8" w:rsidP="00D21039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1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Налог на прибыль</w:t>
      </w:r>
    </w:p>
    <w:p w:rsidR="006D2DE8" w:rsidRPr="00D21039" w:rsidRDefault="006D2DE8" w:rsidP="00D210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Повышена ставка налога до 25%, а для IT-компаний </w:t>
      </w:r>
      <w:r w:rsidR="00F1115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 5% (п. 50 ст. 2 Закона № 176-ФЗ). Изменения начнут действовать с 1 января 2025 года.</w:t>
      </w:r>
    </w:p>
    <w:p w:rsidR="006D2DE8" w:rsidRPr="00D21039" w:rsidRDefault="006D2DE8" w:rsidP="00D210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контексте повышения основной ставки по налогу на прибыль становится ясно, что организации на ОСНО постараются закрыть договоры со своими покупателями и заказчиками в 2024 году, чтобы показать реализацию в текущем году. Это позволит получить экономию по налогу на прибыль на целых 5 процентных пунктов. Конечно, речь идет о тех, кто </w:t>
      </w: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определяет доходы и расходы по методу начисления. Но возможно, законодатели придумают переходные моменты в пользу налогоплательщика.</w:t>
      </w:r>
    </w:p>
    <w:p w:rsidR="006D2DE8" w:rsidRPr="00D21039" w:rsidRDefault="006D2DE8" w:rsidP="00D210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 забывайте, что расходы в налоговом учете делятся </w:t>
      </w:r>
      <w:proofErr w:type="gramStart"/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прямые и косвенные. Прямые расходы накапливаются в составе незавершенного производства (НЗП) и признаются в тот момент, когда будет отражена реализация. А косвенные можно признать сразу, когда они были понесены (ст. </w:t>
      </w:r>
      <w:hyperlink r:id="rId19" w:anchor="h5735" w:tgtFrame="_blank" w:history="1">
        <w:r w:rsidRPr="00F1115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318</w:t>
        </w:r>
      </w:hyperlink>
      <w:r w:rsidRPr="00F111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>НК РФ).</w:t>
      </w:r>
    </w:p>
    <w:p w:rsidR="006D2DE8" w:rsidRPr="00D21039" w:rsidRDefault="006D2DE8" w:rsidP="00D2103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21039">
        <w:rPr>
          <w:sz w:val="28"/>
          <w:szCs w:val="28"/>
        </w:rPr>
        <w:t>Коэффициент учета в расходах затрат на НИОКР увеличен с 1,5 до 2 (п. 46 ст. 2 Закона </w:t>
      </w:r>
      <w:hyperlink r:id="rId20" w:tgtFrame="_blank" w:history="1">
        <w:r w:rsidRPr="00D21039">
          <w:rPr>
            <w:rStyle w:val="a4"/>
            <w:color w:val="auto"/>
            <w:sz w:val="28"/>
            <w:szCs w:val="28"/>
            <w:u w:val="none"/>
          </w:rPr>
          <w:t>№ 176-ФЗ</w:t>
        </w:r>
      </w:hyperlink>
      <w:r w:rsidRPr="00D21039">
        <w:rPr>
          <w:sz w:val="28"/>
          <w:szCs w:val="28"/>
        </w:rPr>
        <w:t>).</w:t>
      </w:r>
    </w:p>
    <w:p w:rsidR="006D2DE8" w:rsidRPr="00D21039" w:rsidRDefault="006D2DE8" w:rsidP="00D2103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D21039">
        <w:rPr>
          <w:sz w:val="28"/>
          <w:szCs w:val="28"/>
        </w:rPr>
        <w:t>Напомним, что в 2024 г. согласно п. 7 ст. </w:t>
      </w:r>
      <w:hyperlink r:id="rId21" w:anchor="h9130" w:tgtFrame="_blank" w:history="1">
        <w:r w:rsidRPr="00D21039">
          <w:rPr>
            <w:rStyle w:val="a4"/>
            <w:color w:val="auto"/>
            <w:sz w:val="28"/>
            <w:szCs w:val="28"/>
            <w:u w:val="none"/>
          </w:rPr>
          <w:t>262</w:t>
        </w:r>
      </w:hyperlink>
      <w:r w:rsidRPr="00D21039">
        <w:rPr>
          <w:sz w:val="28"/>
          <w:szCs w:val="28"/>
        </w:rPr>
        <w:t> НК РФ налогоплательщик, осуществляющий расходы на НИОКР по Перечню, утв. Постановлением Правительства РФ </w:t>
      </w:r>
      <w:hyperlink r:id="rId22" w:tgtFrame="_blank" w:history="1">
        <w:r w:rsidRPr="00D21039">
          <w:rPr>
            <w:rStyle w:val="a4"/>
            <w:color w:val="auto"/>
            <w:sz w:val="28"/>
            <w:szCs w:val="28"/>
            <w:u w:val="none"/>
          </w:rPr>
          <w:t>от 24.12.2008 № 988</w:t>
        </w:r>
      </w:hyperlink>
      <w:r w:rsidRPr="00D21039">
        <w:rPr>
          <w:sz w:val="28"/>
          <w:szCs w:val="28"/>
        </w:rPr>
        <w:t>, вправе включать указанные расходы в состав прочих расходов того отчетного (налогового) периода, в котором завершены такие исследования, разработки, отдельные этапы работ, или в первоначальную стоимость амортизируемых нематериальных активов в размере фактических затрат с применением</w:t>
      </w:r>
      <w:proofErr w:type="gramEnd"/>
      <w:r w:rsidRPr="00D21039">
        <w:rPr>
          <w:sz w:val="28"/>
          <w:szCs w:val="28"/>
        </w:rPr>
        <w:t xml:space="preserve"> коэффициента 1,5. Какие расходы относятся к расходам на НИОКР, ясно сказано в п. 2 ст. </w:t>
      </w:r>
      <w:hyperlink r:id="rId23" w:anchor="h9130" w:tgtFrame="_blank" w:history="1">
        <w:r w:rsidRPr="00D21039">
          <w:rPr>
            <w:rStyle w:val="a4"/>
            <w:color w:val="auto"/>
            <w:sz w:val="28"/>
            <w:szCs w:val="28"/>
            <w:u w:val="none"/>
          </w:rPr>
          <w:t>262</w:t>
        </w:r>
      </w:hyperlink>
      <w:r w:rsidRPr="00D21039">
        <w:rPr>
          <w:sz w:val="28"/>
          <w:szCs w:val="28"/>
        </w:rPr>
        <w:t> НК РФ.</w:t>
      </w:r>
    </w:p>
    <w:p w:rsidR="006D2DE8" w:rsidRPr="00D21039" w:rsidRDefault="006D2DE8" w:rsidP="00D21039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1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Изменения в </w:t>
      </w:r>
      <w:r w:rsidR="00F111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упрощенной системе налогообложения</w:t>
      </w:r>
    </w:p>
    <w:p w:rsidR="006D2DE8" w:rsidRPr="00D21039" w:rsidRDefault="006D2DE8" w:rsidP="00D210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Пороговые значения для перехода и применения УСН станут выше с 1 января 2025 года. Перейти на УСН будет можно, если:</w:t>
      </w:r>
    </w:p>
    <w:p w:rsidR="006D2DE8" w:rsidRPr="00D21039" w:rsidRDefault="006D2DE8" w:rsidP="00F1115B">
      <w:pPr>
        <w:numPr>
          <w:ilvl w:val="0"/>
          <w:numId w:val="8"/>
        </w:numPr>
        <w:tabs>
          <w:tab w:val="clear" w:pos="720"/>
          <w:tab w:val="num" w:pos="0"/>
        </w:tabs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доходы за 9 месяцев прошлого года не превысят 337,5 </w:t>
      </w:r>
      <w:proofErr w:type="gramStart"/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руб.;</w:t>
      </w:r>
    </w:p>
    <w:p w:rsidR="006D2DE8" w:rsidRPr="00D21039" w:rsidRDefault="006D2DE8" w:rsidP="00F1115B">
      <w:pPr>
        <w:numPr>
          <w:ilvl w:val="0"/>
          <w:numId w:val="8"/>
        </w:numPr>
        <w:tabs>
          <w:tab w:val="clear" w:pos="720"/>
          <w:tab w:val="num" w:pos="0"/>
        </w:tabs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численность работников </w:t>
      </w:r>
      <w:r w:rsidR="00F1115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130 человек;</w:t>
      </w:r>
    </w:p>
    <w:p w:rsidR="006D2DE8" w:rsidRPr="00D21039" w:rsidRDefault="006D2DE8" w:rsidP="00F1115B">
      <w:pPr>
        <w:numPr>
          <w:ilvl w:val="0"/>
          <w:numId w:val="8"/>
        </w:numPr>
        <w:tabs>
          <w:tab w:val="clear" w:pos="720"/>
          <w:tab w:val="num" w:pos="0"/>
        </w:tabs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остаточная стоимость ОС </w:t>
      </w:r>
      <w:r w:rsidR="00F1115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200 </w:t>
      </w:r>
      <w:proofErr w:type="gramStart"/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:rsidR="006D2DE8" w:rsidRPr="00D21039" w:rsidRDefault="006D2DE8" w:rsidP="00D210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доход для УСН увеличен до 450 </w:t>
      </w:r>
      <w:proofErr w:type="gramStart"/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руб., повышенных ставок не будет (ст. 2 Закона </w:t>
      </w:r>
      <w:hyperlink r:id="rId24" w:tgtFrame="_blank" w:history="1">
        <w:r w:rsidRPr="00D210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 176-ФЗ</w:t>
        </w:r>
      </w:hyperlink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D2DE8" w:rsidRPr="00D21039" w:rsidRDefault="006D2DE8" w:rsidP="00674F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Текущие показатели: доходы за год </w:t>
      </w:r>
      <w:r w:rsidR="00F7158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 более 265,8 </w:t>
      </w:r>
      <w:proofErr w:type="gramStart"/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(200 млн руб. × </w:t>
      </w:r>
      <w:hyperlink r:id="rId25" w:tgtFrame="_blank" w:history="1">
        <w:r w:rsidRPr="00D210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1,329</w:t>
        </w:r>
      </w:hyperlink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>). При доходах от 199,35 до 265,8 </w:t>
      </w:r>
      <w:proofErr w:type="gramStart"/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налог надо платить по повышенным ставкам.</w:t>
      </w:r>
      <w:r w:rsidR="0067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>В итоге большее количество организаций и ИП получит возможность применять УСН.</w:t>
      </w:r>
    </w:p>
    <w:p w:rsidR="006D2DE8" w:rsidRPr="00D21039" w:rsidRDefault="006D2DE8" w:rsidP="00D210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 2025 года упрощенцы станут плательщиками НДС, но при доходах до 60 </w:t>
      </w:r>
      <w:proofErr w:type="gramStart"/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они получат освобождение от этого налога. При доходах от 60 до 250 </w:t>
      </w:r>
      <w:proofErr w:type="gramStart"/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есть возможность платить НДС по ставке 5%, а свыше 250 млн руб. </w:t>
      </w:r>
      <w:r w:rsidR="00F7158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7%, но вычеты входного НДС при таких ставках применять будет нельзя (ст. 2 Закона </w:t>
      </w:r>
      <w:hyperlink r:id="rId26" w:tgtFrame="_blank" w:history="1">
        <w:r w:rsidRPr="00D210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 176-ФЗ</w:t>
        </w:r>
      </w:hyperlink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6D2DE8" w:rsidRPr="00D21039" w:rsidRDefault="006D2DE8" w:rsidP="00D210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Другая проблема заключается в том, что обязанность уплаты НДС в любом случае повлияет на цену товаров, работ и услуг. Следовательно, для розничных продавцов больше подойдут ставки 5 и 7%. Ведь их покупатели не будут принимать НДС к вычету.</w:t>
      </w:r>
    </w:p>
    <w:p w:rsidR="006D2DE8" w:rsidRPr="00D21039" w:rsidRDefault="006D2DE8" w:rsidP="00D210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Предстоящие изменения требуют детального анализа и изучения со стороны компаний и ИП, применяющих УСН, им потребуется адаптировать свой бизнес к новым условиям. Остаться на УСН будет выгодно тем, кто в итоге заплатит меньше налогов, чем на ОСНО. Рекомендуем просчитать налоговую нагрузку на будущий год заранее и, исходя из этого, выбрать оптимальный режим налогообложения.</w:t>
      </w:r>
    </w:p>
    <w:p w:rsidR="006D2DE8" w:rsidRPr="00D21039" w:rsidRDefault="006D2DE8" w:rsidP="00D210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>Но все же для большинства фирм и ИП на упрощенке мало что изменится, так как их годовой доход меньше 60 </w:t>
      </w:r>
      <w:proofErr w:type="gramStart"/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:rsidR="006D2DE8" w:rsidRPr="00D21039" w:rsidRDefault="006D2DE8" w:rsidP="00D21039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1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Налог на имущество</w:t>
      </w:r>
    </w:p>
    <w:p w:rsidR="006D2DE8" w:rsidRPr="00D21039" w:rsidRDefault="006D2DE8" w:rsidP="00D210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>С 1 января 2025 года для недвижимости с кадастровой стоимостью свыше 300 млн</w:t>
      </w:r>
      <w:r w:rsidR="00674F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субъекты РФ смогут устанавливать налоговую ставку до 2,5% (п. 79 ст. 2 Закона </w:t>
      </w:r>
      <w:hyperlink r:id="rId27" w:tgtFrame="_blank" w:history="1">
        <w:r w:rsidRPr="00D210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 176-ФЗ</w:t>
        </w:r>
      </w:hyperlink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6D2DE8" w:rsidRPr="00D21039" w:rsidRDefault="006D2DE8" w:rsidP="00D210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настоящее время Налоговый кодекс РФ установил максимальную ставку налога </w:t>
      </w:r>
      <w:r w:rsidR="00F7158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2,2%, а также пониженные и нулевые ставки для отдельных видов недвижимого имущества.</w:t>
      </w:r>
    </w:p>
    <w:p w:rsidR="006D2DE8" w:rsidRPr="00D21039" w:rsidRDefault="006D2DE8" w:rsidP="00D210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тенденция на повышение налогов очевидна. Но если в НДФЛ рост налоговой нагрузки находится в прямой зависимости от доходов граждан, то в налоге на прибыль основная ставка возрастет для всех организаций. Тем не </w:t>
      </w:r>
      <w:proofErr w:type="gramStart"/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</w:t>
      </w:r>
      <w:proofErr w:type="gramEnd"/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главный принцип отечественной налоговой системы сохранился </w:t>
      </w:r>
      <w:r w:rsidR="00F7158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большую часть налогов в бюджетную систему платят не граждане, а бизнес.</w:t>
      </w:r>
    </w:p>
    <w:sectPr w:rsidR="006D2DE8" w:rsidRPr="00D21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723E6"/>
    <w:multiLevelType w:val="multilevel"/>
    <w:tmpl w:val="C23AD1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647180"/>
    <w:multiLevelType w:val="multilevel"/>
    <w:tmpl w:val="1CF8C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802D4C"/>
    <w:multiLevelType w:val="multilevel"/>
    <w:tmpl w:val="DF9E34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A72548"/>
    <w:multiLevelType w:val="multilevel"/>
    <w:tmpl w:val="D05007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9E415E"/>
    <w:multiLevelType w:val="multilevel"/>
    <w:tmpl w:val="F20A0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570D65"/>
    <w:multiLevelType w:val="multilevel"/>
    <w:tmpl w:val="3BB4C30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41674C"/>
    <w:multiLevelType w:val="multilevel"/>
    <w:tmpl w:val="34423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DD6A9F"/>
    <w:multiLevelType w:val="multilevel"/>
    <w:tmpl w:val="5E845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BE6"/>
    <w:rsid w:val="000D09D2"/>
    <w:rsid w:val="002130EF"/>
    <w:rsid w:val="00407E34"/>
    <w:rsid w:val="00447BE6"/>
    <w:rsid w:val="00464BD1"/>
    <w:rsid w:val="00597785"/>
    <w:rsid w:val="00674FCF"/>
    <w:rsid w:val="006D2DE8"/>
    <w:rsid w:val="00882061"/>
    <w:rsid w:val="00AB24D1"/>
    <w:rsid w:val="00D21039"/>
    <w:rsid w:val="00EF37B5"/>
    <w:rsid w:val="00F1115B"/>
    <w:rsid w:val="00F5416C"/>
    <w:rsid w:val="00F7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2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D2D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2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D2D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58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89269/" TargetMode="External"/><Relationship Id="rId13" Type="http://schemas.openxmlformats.org/officeDocument/2006/relationships/hyperlink" Target="https://normativ.kontur.ru/document?moduleId=1&amp;documentId=475521" TargetMode="External"/><Relationship Id="rId18" Type="http://schemas.openxmlformats.org/officeDocument/2006/relationships/hyperlink" Target="https://normativ.kontur.ru/document?moduleId=1&amp;documentId=475521" TargetMode="External"/><Relationship Id="rId26" Type="http://schemas.openxmlformats.org/officeDocument/2006/relationships/hyperlink" Target="https://normativ.kontur.ru/document?moduleId=1&amp;documentId=47440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normativ.kontur.ru/document?moduleId=1&amp;documentId=475521" TargetMode="External"/><Relationship Id="rId7" Type="http://schemas.openxmlformats.org/officeDocument/2006/relationships/hyperlink" Target="https://www.consultant.ru/document/cons_doc_LAW_482529/" TargetMode="External"/><Relationship Id="rId12" Type="http://schemas.openxmlformats.org/officeDocument/2006/relationships/hyperlink" Target="https://normativ.kontur.ru/document?moduleId=1&amp;documentId=475521" TargetMode="External"/><Relationship Id="rId17" Type="http://schemas.openxmlformats.org/officeDocument/2006/relationships/hyperlink" Target="https://normativ.kontur.ru/document?moduleId=8&amp;documentId=414481" TargetMode="External"/><Relationship Id="rId25" Type="http://schemas.openxmlformats.org/officeDocument/2006/relationships/hyperlink" Target="https://login.consultant.ru/link/?req=doc&amp;base=LAW&amp;n=462324&amp;dst=100008" TargetMode="External"/><Relationship Id="rId2" Type="http://schemas.openxmlformats.org/officeDocument/2006/relationships/styles" Target="styles.xml"/><Relationship Id="rId16" Type="http://schemas.openxmlformats.org/officeDocument/2006/relationships/hyperlink" Target="https://normativ.kontur.ru/document?moduleId=1&amp;documentId=474408" TargetMode="External"/><Relationship Id="rId20" Type="http://schemas.openxmlformats.org/officeDocument/2006/relationships/hyperlink" Target="https://normativ.kontur.ru/document?moduleId=1&amp;documentId=474408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407120009" TargetMode="External"/><Relationship Id="rId11" Type="http://schemas.openxmlformats.org/officeDocument/2006/relationships/hyperlink" Target="https://normativ.kontur.ru/document?moduleId=1&amp;documentId=475521" TargetMode="External"/><Relationship Id="rId24" Type="http://schemas.openxmlformats.org/officeDocument/2006/relationships/hyperlink" Target="https://normativ.kontur.ru/document?moduleId=1&amp;documentId=47440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474408" TargetMode="External"/><Relationship Id="rId23" Type="http://schemas.openxmlformats.org/officeDocument/2006/relationships/hyperlink" Target="https://normativ.kontur.ru/document?moduleId=1&amp;documentId=47552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normativ.kontur.ru/document?moduleId=1&amp;documentId=464695" TargetMode="External"/><Relationship Id="rId19" Type="http://schemas.openxmlformats.org/officeDocument/2006/relationships/hyperlink" Target="https://normativ.kontur.ru/document?moduleId=1&amp;documentId=4755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91748/" TargetMode="External"/><Relationship Id="rId14" Type="http://schemas.openxmlformats.org/officeDocument/2006/relationships/hyperlink" Target="https://normativ.kontur.ru/document?moduleId=1&amp;documentId=463662" TargetMode="External"/><Relationship Id="rId22" Type="http://schemas.openxmlformats.org/officeDocument/2006/relationships/hyperlink" Target="https://normativ.kontur.ru/document?moduleId=1&amp;documentId=438750" TargetMode="External"/><Relationship Id="rId27" Type="http://schemas.openxmlformats.org/officeDocument/2006/relationships/hyperlink" Target="https://normativ.kontur.ru/document?moduleId=1&amp;documentId=4744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1535</Words>
  <Characters>8753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Prepodavatel</dc:creator>
  <cp:keywords/>
  <dc:description/>
  <cp:lastModifiedBy>Prepodavatel</cp:lastModifiedBy>
  <cp:revision>5</cp:revision>
  <dcterms:created xsi:type="dcterms:W3CDTF">2025-03-17T11:02:00Z</dcterms:created>
  <dcterms:modified xsi:type="dcterms:W3CDTF">2025-03-18T09:28:00Z</dcterms:modified>
</cp:coreProperties>
</file>