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6EE" w:rsidRDefault="009D16EE" w:rsidP="009D16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D16EE">
        <w:rPr>
          <w:rFonts w:ascii="Times New Roman" w:hAnsi="Times New Roman" w:cs="Times New Roman"/>
          <w:b/>
          <w:sz w:val="30"/>
          <w:szCs w:val="30"/>
          <w:lang w:val="ru-RU"/>
        </w:rPr>
        <w:t>Марченко Ирина Александровна</w:t>
      </w:r>
    </w:p>
    <w:p w:rsidR="009D16EE" w:rsidRDefault="009D16EE" w:rsidP="009D16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9D16EE">
        <w:rPr>
          <w:rFonts w:ascii="Times New Roman" w:hAnsi="Times New Roman" w:cs="Times New Roman"/>
          <w:b/>
          <w:sz w:val="30"/>
          <w:szCs w:val="30"/>
          <w:lang w:val="ru-RU"/>
        </w:rPr>
        <w:t>Учитель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 труда(технологии)</w:t>
      </w:r>
      <w:r w:rsidRPr="009D16EE">
        <w:rPr>
          <w:rFonts w:ascii="Times New Roman" w:hAnsi="Times New Roman" w:cs="Times New Roman"/>
          <w:b/>
          <w:sz w:val="30"/>
          <w:szCs w:val="30"/>
          <w:lang w:val="ru-RU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ГКОУ «Донецкая СШИ №29»</w:t>
      </w:r>
    </w:p>
    <w:p w:rsidR="0024600D" w:rsidRDefault="0024600D" w:rsidP="009D16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E851D5" w:rsidRDefault="00E851D5" w:rsidP="00890ED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  <w:lang w:val="ru-RU"/>
        </w:rPr>
        <w:t>Специфика организации коррекцион</w:t>
      </w:r>
      <w:r w:rsidR="003F6F1E">
        <w:rPr>
          <w:rFonts w:ascii="Times New Roman" w:hAnsi="Times New Roman" w:cs="Times New Roman"/>
          <w:b/>
          <w:sz w:val="30"/>
          <w:szCs w:val="30"/>
          <w:lang w:val="ru-RU"/>
        </w:rPr>
        <w:t>ной работы с обучающимися с синдромом дефицита внимания и гиперактивности</w:t>
      </w:r>
    </w:p>
    <w:bookmarkEnd w:id="0"/>
    <w:p w:rsidR="002645CB" w:rsidRPr="00E2019C" w:rsidRDefault="002645CB" w:rsidP="00E2019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2645CB" w:rsidRDefault="002645CB" w:rsidP="002645CB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5706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того, чтобы коррекционная работа с</w:t>
      </w:r>
      <w:r w:rsidRPr="0045706C">
        <w:rPr>
          <w:rFonts w:ascii="Times New Roman" w:hAnsi="Times New Roman" w:cs="Times New Roman"/>
          <w:sz w:val="30"/>
          <w:szCs w:val="30"/>
        </w:rPr>
        <w:t xml:space="preserve"> детьми с синдромом дефицита внимания и гиперактивностью</w:t>
      </w:r>
      <w:r w:rsidR="00220A6A">
        <w:rPr>
          <w:rFonts w:ascii="Times New Roman" w:hAnsi="Times New Roman" w:cs="Times New Roman"/>
          <w:sz w:val="30"/>
          <w:szCs w:val="30"/>
          <w:lang w:val="ru-RU"/>
        </w:rPr>
        <w:t xml:space="preserve"> (далее-СДВГ) </w:t>
      </w:r>
      <w:r w:rsidRPr="004570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была эффективной и имела высокую результативность, необходим комплексный подход к проблеме преодоления данного нарушения. Работать с ребенком должна команда специалистов (учитель-дефектолог, педагог-психолог, музыкальный руководитель), а также активное участие в коррекционном процессе должны принимать родители детей.</w:t>
      </w:r>
    </w:p>
    <w:p w:rsidR="002E1192" w:rsidRPr="0045706C" w:rsidRDefault="002E1192" w:rsidP="002E119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Необходимо определить сильные стороны личности ребенка, с тем, чтобы опираться на них в преодолении имеющихся трудностей. </w:t>
      </w:r>
    </w:p>
    <w:p w:rsidR="0045706C" w:rsidRPr="002E1192" w:rsidRDefault="0045706C" w:rsidP="0045706C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</w:pPr>
      <w:r w:rsidRPr="008F64E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 с данной категорией 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детей</w:t>
      </w: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имеет свои особенности, которые необходимо учитывать специалистам</w:t>
      </w:r>
      <w:r w:rsidR="00890ED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 </w:t>
      </w:r>
      <w:r w:rsidR="002E119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 xml:space="preserve">при </w:t>
      </w:r>
      <w:r w:rsidR="00890ED6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проведении коррекционной работы</w:t>
      </w:r>
      <w:r w:rsidR="002E1192"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ru-RU"/>
        </w:rPr>
        <w:t>: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 xml:space="preserve">– 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гиперактивный ребенок лучше всего работает в начале дня и в начале занятия. Интеллектуальная деятельность этих детей отличается цикличностью: 10-15 минут работы, а потом на 5-7 минут ребёнок как бы выключается, в эти минуты, чтобы активизировать сознание, ребёнок вынужден вертеть головой, двигать конечностями или всем туловищем. Поэтому целесообразно использовать методы переключения и перерывы. 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в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ключать таких детей </w:t>
      </w:r>
      <w:r w:rsidR="002E119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-RU" w:eastAsia="ru-RU"/>
        </w:rPr>
        <w:t xml:space="preserve">на коррекционных занятиях 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в коллективную работу поэтапно: начинать с индивидуа</w:t>
      </w:r>
      <w:r w:rsidR="00520E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льной работы, привлекать </w:t>
      </w:r>
      <w:r w:rsidR="00520E57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-RU" w:eastAsia="ru-RU"/>
        </w:rPr>
        <w:t>детей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к играм в малых подгруппах, переходить к коллективным играм;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Arial" w:eastAsia="Times New Roman" w:hAnsi="Arial" w:cs="Arial"/>
          <w:color w:val="181818"/>
          <w:sz w:val="30"/>
          <w:szCs w:val="30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необходимо ограничивать до минимума факторы, которые могут отвлекать ребенка;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Arial" w:eastAsia="Times New Roman" w:hAnsi="Arial" w:cs="Arial"/>
          <w:color w:val="181818"/>
          <w:sz w:val="30"/>
          <w:szCs w:val="30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</w:t>
      </w:r>
      <w:r w:rsidR="002E1192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коррекционные занятия 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нужно строить по четко</w:t>
      </w:r>
      <w:r w:rsidR="006460B0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val="ru-RU" w:eastAsia="ru-RU"/>
        </w:rPr>
        <w:t xml:space="preserve"> 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распланированному, стереотипному распорядку;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 </w:t>
      </w:r>
      <w:r w:rsidR="002E1192">
        <w:rPr>
          <w:rFonts w:ascii="Times New Roman" w:eastAsia="Times New Roman" w:hAnsi="Times New Roman" w:cs="Times New Roman"/>
          <w:color w:val="181818"/>
          <w:sz w:val="30"/>
          <w:szCs w:val="30"/>
          <w:lang w:val="ru-RU" w:eastAsia="ru-RU"/>
        </w:rPr>
        <w:t xml:space="preserve">на занятиях 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не нужно давать ребенку многоступенчатых инструкций, они чёткие и краткие, не более 10 слов. Для подкрепления устных инструкций используется зрительная стимуляция: карточки, символы на стендах, рисунки, схемы;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Arial" w:eastAsia="Times New Roman" w:hAnsi="Arial" w:cs="Arial"/>
          <w:color w:val="181818"/>
          <w:sz w:val="30"/>
          <w:szCs w:val="30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на определенный отрезок времени предлагать только одно задание;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Arial" w:eastAsia="Times New Roman" w:hAnsi="Arial" w:cs="Arial"/>
          <w:color w:val="181818"/>
          <w:sz w:val="30"/>
          <w:szCs w:val="30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lastRenderedPageBreak/>
        <w:t>–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большие задания лучше разбивать на несколько блоков с обсуждением промежуточных результатов работы;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использовать разнообразный наглядный материал, игровые приёмы, сюрпризные моменты;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Arial" w:eastAsia="Times New Roman" w:hAnsi="Arial" w:cs="Arial"/>
          <w:color w:val="181818"/>
          <w:sz w:val="30"/>
          <w:szCs w:val="30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предоставить ребенку возможность быстро обращаться за помощью к педагогу в случаях затруднений при выполнении заданий;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Arial" w:eastAsia="Times New Roman" w:hAnsi="Arial" w:cs="Arial"/>
          <w:color w:val="181818"/>
          <w:sz w:val="30"/>
          <w:szCs w:val="30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предусматривать возможности для двигательной «разрядки» в ходе занятия: физкультминутки, спортивные упражнения, релаксационные упражнения и др.;</w:t>
      </w:r>
    </w:p>
    <w:p w:rsidR="0045706C" w:rsidRPr="0045706C" w:rsidRDefault="0045706C" w:rsidP="0045706C">
      <w:pPr>
        <w:shd w:val="clear" w:color="auto" w:fill="FFFFFF"/>
        <w:spacing w:after="374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– использовать тактильный контакт. В тот момент, когда ребенок начнет отвлекаться, педагог может положить руку ему на плечо. Это прикосновение работает как сигнал, помогающий «включить» внимание;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181818"/>
          <w:sz w:val="30"/>
          <w:szCs w:val="30"/>
          <w:lang w:eastAsia="ru-RU"/>
        </w:rPr>
        <w:t>– 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поощрять хорошее поведение ребенка.</w:t>
      </w:r>
    </w:p>
    <w:p w:rsidR="00151E89" w:rsidRPr="00E2019C" w:rsidRDefault="0045706C" w:rsidP="0045706C">
      <w:pPr>
        <w:shd w:val="clear" w:color="auto" w:fill="FFFFFF"/>
        <w:spacing w:after="374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</w:pPr>
      <w:r w:rsidRPr="00E2019C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  <w:t>Какие приемы и методы работы желательно использовать</w:t>
      </w:r>
    </w:p>
    <w:p w:rsidR="0045706C" w:rsidRPr="00E2019C" w:rsidRDefault="0045706C" w:rsidP="0045706C">
      <w:pPr>
        <w:shd w:val="clear" w:color="auto" w:fill="FFFFFF"/>
        <w:spacing w:after="374" w:line="240" w:lineRule="auto"/>
        <w:contextualSpacing/>
        <w:jc w:val="center"/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</w:pPr>
      <w:r w:rsidRPr="00E2019C">
        <w:rPr>
          <w:rFonts w:ascii="Times New Roman" w:eastAsia="Times New Roman" w:hAnsi="Times New Roman" w:cs="Times New Roman"/>
          <w:i/>
          <w:color w:val="000000"/>
          <w:sz w:val="30"/>
          <w:szCs w:val="30"/>
          <w:shd w:val="clear" w:color="auto" w:fill="FFFFFF"/>
          <w:lang w:eastAsia="ru-RU"/>
        </w:rPr>
        <w:t xml:space="preserve"> с гиперактивным ребенком?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1. Сказкотерапия (применение сказок для гиперактивных детей, достаточно эффективно влияет на развитие самоконтроля и поможет сосредоточить внимание на деятельности)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2. Прием тактильного контакта (гиперактивные дети больше нуждаются в прикосновениях, объятиях, поглаживаний, потому что так же, как и взрослый устают от потока своей энергией)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3. Техники дыхания (несомненно, нужны в работе с данными детьми, для развития самоконтроля, и волевого усилия, снятия лишнего напряжения)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4. Метод смены деятельности (это важный метод, потому что дети часто переключают свое внимание и деятельность при этом чаще всего бесцельно, а наша задача помочь ребенку контролировать свои действия и активность)</w:t>
      </w:r>
    </w:p>
    <w:p w:rsidR="0045706C" w:rsidRPr="0045706C" w:rsidRDefault="0045706C" w:rsidP="0045706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5. Прием поощрения (поощрять ребенка за спокойное поведение, за внимательность, возможна материальная система поощрения: жетон, наклейка и т.д.)</w:t>
      </w:r>
    </w:p>
    <w:p w:rsidR="0045706C" w:rsidRDefault="0045706C" w:rsidP="0045706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6. Игры на развитие психомоторных функций и корректирование поведения в коллективе</w:t>
      </w:r>
    </w:p>
    <w:p w:rsidR="0045706C" w:rsidRPr="0045706C" w:rsidRDefault="0045706C" w:rsidP="0045706C">
      <w:pPr>
        <w:shd w:val="clear" w:color="auto" w:fill="FFFFFF"/>
        <w:spacing w:after="0" w:line="315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7. Упражнения и игры, направленные на развитие у ребенка устойчивости, концентрации, переключения и распределения внимания.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  <w:t xml:space="preserve">        8. Упражнения и игры, направленные на преодоление двигательного автоматизма.</w:t>
      </w: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/>
        <w:t xml:space="preserve">        9. Комплекс занятий психогимнастики.</w:t>
      </w:r>
    </w:p>
    <w:p w:rsidR="002E1192" w:rsidRDefault="00E851D5" w:rsidP="00E851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2645CB">
        <w:rPr>
          <w:rFonts w:ascii="Times New Roman" w:hAnsi="Times New Roman" w:cs="Times New Roman"/>
          <w:bCs/>
          <w:sz w:val="30"/>
          <w:szCs w:val="30"/>
        </w:rPr>
        <w:t>На коррекционных занятиях по развитию познавательной деятельности рекомендуется использовать следующие методы: словесные (инструкция, рассказ, объяснение, разъяснение,</w:t>
      </w:r>
      <w:r w:rsidRPr="002645CB">
        <w:rPr>
          <w:rFonts w:ascii="Times New Roman" w:hAnsi="Times New Roman" w:cs="Times New Roman"/>
          <w:sz w:val="30"/>
          <w:szCs w:val="30"/>
        </w:rPr>
        <w:t xml:space="preserve"> уточняющие </w:t>
      </w:r>
      <w:r w:rsidRPr="002645CB">
        <w:rPr>
          <w:rFonts w:ascii="Times New Roman" w:hAnsi="Times New Roman" w:cs="Times New Roman"/>
          <w:sz w:val="30"/>
          <w:szCs w:val="30"/>
        </w:rPr>
        <w:lastRenderedPageBreak/>
        <w:t>вопросы</w:t>
      </w:r>
      <w:r w:rsidRPr="002645CB">
        <w:rPr>
          <w:rFonts w:ascii="Times New Roman" w:hAnsi="Times New Roman" w:cs="Times New Roman"/>
          <w:bCs/>
          <w:sz w:val="30"/>
          <w:szCs w:val="30"/>
        </w:rPr>
        <w:t xml:space="preserve"> и др.); наглядные (показ изучаемых предметов, изображений</w:t>
      </w:r>
      <w:r w:rsidRPr="002645CB">
        <w:rPr>
          <w:rFonts w:ascii="Times New Roman" w:hAnsi="Times New Roman" w:cs="Times New Roman"/>
          <w:sz w:val="30"/>
          <w:szCs w:val="30"/>
        </w:rPr>
        <w:t>; использование сигнальных опор, планов, памяток</w:t>
      </w:r>
      <w:r w:rsidRPr="002645CB">
        <w:rPr>
          <w:rFonts w:ascii="Times New Roman" w:hAnsi="Times New Roman" w:cs="Times New Roman"/>
          <w:bCs/>
          <w:sz w:val="30"/>
          <w:szCs w:val="30"/>
        </w:rPr>
        <w:t xml:space="preserve"> и др.); практические (дидактические и сюжетно-ролевые игры, упражнения, опыты, выполнение трудовых и социально-бытовых заданий). </w:t>
      </w:r>
    </w:p>
    <w:p w:rsidR="00E851D5" w:rsidRPr="002645CB" w:rsidRDefault="00E851D5" w:rsidP="00E851D5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5CB">
        <w:rPr>
          <w:rFonts w:ascii="Times New Roman" w:hAnsi="Times New Roman" w:cs="Times New Roman"/>
          <w:sz w:val="30"/>
          <w:szCs w:val="30"/>
        </w:rPr>
        <w:t xml:space="preserve">Коррекционная работа по формированию эмоциональной сферы учащихся с СДВГ должна учитывать основные составляющие модели эмоционального интеллекта: </w:t>
      </w:r>
    </w:p>
    <w:p w:rsidR="00E851D5" w:rsidRPr="002645CB" w:rsidRDefault="00E851D5" w:rsidP="001834E9">
      <w:pPr>
        <w:pStyle w:val="a4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645CB">
        <w:rPr>
          <w:rFonts w:ascii="Times New Roman" w:hAnsi="Times New Roman" w:cs="Times New Roman"/>
          <w:sz w:val="30"/>
          <w:szCs w:val="30"/>
        </w:rPr>
        <w:t xml:space="preserve">восприятие эмоций – формирование способности распознавать эмоции по мимике, жестам, внешнему виду, походке, поведению и голосу других людей, а также идентифицировать свои собственные эмоции; </w:t>
      </w:r>
    </w:p>
    <w:p w:rsidR="00E851D5" w:rsidRPr="002645CB" w:rsidRDefault="00E851D5" w:rsidP="001834E9">
      <w:pPr>
        <w:pStyle w:val="a4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645CB">
        <w:rPr>
          <w:rFonts w:ascii="Times New Roman" w:hAnsi="Times New Roman" w:cs="Times New Roman"/>
          <w:sz w:val="30"/>
          <w:szCs w:val="30"/>
        </w:rPr>
        <w:t xml:space="preserve">использование эмоций – развитие способности активировать свой мыслительный процесс, используя эмоции в процессе деятельности; </w:t>
      </w:r>
    </w:p>
    <w:p w:rsidR="00E851D5" w:rsidRPr="002645CB" w:rsidRDefault="00E851D5" w:rsidP="001834E9">
      <w:pPr>
        <w:pStyle w:val="a4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645CB">
        <w:rPr>
          <w:rFonts w:ascii="Times New Roman" w:hAnsi="Times New Roman" w:cs="Times New Roman"/>
          <w:sz w:val="30"/>
          <w:szCs w:val="30"/>
        </w:rPr>
        <w:t>понимание эмоций – формирование умений определять причины появления позитивных и негативных эмоций, связей между мыслями и эмоциями, понимание перехода от одной эмоции к другой, а также интерпретация эмоций во взаимоотношениях, понимание сложных (амбивалентных, неоднозначных) чувств;</w:t>
      </w:r>
    </w:p>
    <w:p w:rsidR="00E851D5" w:rsidRPr="002645CB" w:rsidRDefault="00E851D5" w:rsidP="001834E9">
      <w:pPr>
        <w:pStyle w:val="a4"/>
        <w:numPr>
          <w:ilvl w:val="0"/>
          <w:numId w:val="1"/>
        </w:numPr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2645CB">
        <w:rPr>
          <w:rFonts w:ascii="Times New Roman" w:hAnsi="Times New Roman" w:cs="Times New Roman"/>
          <w:sz w:val="30"/>
          <w:szCs w:val="30"/>
        </w:rPr>
        <w:t>управление эмоциями – регулирование своих эмоций и эмоций других людей для достижения поставленных целей, развитие способности принимать эмоции во внимание при построении логических цепочек, решении различных задач, принятии решений и выборе своего поведения.</w:t>
      </w:r>
    </w:p>
    <w:p w:rsidR="00E851D5" w:rsidRPr="002645CB" w:rsidRDefault="00E851D5" w:rsidP="00E85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5CB">
        <w:rPr>
          <w:rFonts w:ascii="Times New Roman" w:hAnsi="Times New Roman" w:cs="Times New Roman"/>
          <w:sz w:val="30"/>
          <w:szCs w:val="30"/>
        </w:rPr>
        <w:t xml:space="preserve">Коррекционные занятия необходимо проводить с применением игр, упражнений, чтением литературных произведений, обыгрыванием ситуаций. Понимание, переживание эмоций и эмоциональных состояний </w:t>
      </w:r>
      <w:r w:rsidRPr="002645CB">
        <w:rPr>
          <w:rFonts w:ascii="Times New Roman" w:hAnsi="Times New Roman" w:cs="Times New Roman"/>
          <w:sz w:val="30"/>
          <w:szCs w:val="30"/>
          <w:lang w:val="ru-RU"/>
        </w:rPr>
        <w:t>осуществляется</w:t>
      </w:r>
      <w:r w:rsidRPr="002645CB">
        <w:rPr>
          <w:rFonts w:ascii="Times New Roman" w:hAnsi="Times New Roman" w:cs="Times New Roman"/>
          <w:sz w:val="30"/>
          <w:szCs w:val="30"/>
        </w:rPr>
        <w:t xml:space="preserve"> в процессе выполнения практической работы: </w:t>
      </w:r>
      <w:r w:rsidRPr="002645CB">
        <w:rPr>
          <w:rFonts w:ascii="Times New Roman" w:hAnsi="Times New Roman" w:cs="Times New Roman"/>
          <w:sz w:val="30"/>
          <w:szCs w:val="30"/>
          <w:lang w:val="ru-RU"/>
        </w:rPr>
        <w:t>учащимся</w:t>
      </w:r>
      <w:r w:rsidRPr="002645CB">
        <w:rPr>
          <w:rFonts w:ascii="Times New Roman" w:hAnsi="Times New Roman" w:cs="Times New Roman"/>
          <w:sz w:val="30"/>
          <w:szCs w:val="30"/>
        </w:rPr>
        <w:t xml:space="preserve"> предлагаются разнообразные этюды на выражение основных эмоций и </w:t>
      </w:r>
      <w:r w:rsidRPr="002645CB">
        <w:rPr>
          <w:rFonts w:ascii="Times New Roman" w:hAnsi="Times New Roman" w:cs="Times New Roman"/>
          <w:sz w:val="30"/>
          <w:szCs w:val="30"/>
          <w:lang w:val="ru-RU"/>
        </w:rPr>
        <w:t xml:space="preserve">развитие </w:t>
      </w:r>
      <w:r w:rsidRPr="002645CB">
        <w:rPr>
          <w:rFonts w:ascii="Times New Roman" w:hAnsi="Times New Roman" w:cs="Times New Roman"/>
          <w:sz w:val="30"/>
          <w:szCs w:val="30"/>
        </w:rPr>
        <w:t>выразительност</w:t>
      </w:r>
      <w:r w:rsidRPr="002645CB">
        <w:rPr>
          <w:rFonts w:ascii="Times New Roman" w:hAnsi="Times New Roman" w:cs="Times New Roman"/>
          <w:sz w:val="30"/>
          <w:szCs w:val="30"/>
          <w:lang w:val="ru-RU"/>
        </w:rPr>
        <w:t>и</w:t>
      </w:r>
      <w:r w:rsidRPr="002645CB">
        <w:rPr>
          <w:rFonts w:ascii="Times New Roman" w:hAnsi="Times New Roman" w:cs="Times New Roman"/>
          <w:sz w:val="30"/>
          <w:szCs w:val="30"/>
        </w:rPr>
        <w:t xml:space="preserve"> мимики, пантомимики, речи, инсценировки с показом и изучением различных эмоциональных состояний. </w:t>
      </w:r>
    </w:p>
    <w:p w:rsidR="00E851D5" w:rsidRPr="002645CB" w:rsidRDefault="00E851D5" w:rsidP="00E851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645CB">
        <w:rPr>
          <w:rFonts w:ascii="Times New Roman" w:hAnsi="Times New Roman" w:cs="Times New Roman"/>
          <w:sz w:val="30"/>
          <w:szCs w:val="30"/>
        </w:rPr>
        <w:t xml:space="preserve">Формирование навыков социально одобряемого поведения </w:t>
      </w:r>
      <w:r w:rsidRPr="002645CB">
        <w:rPr>
          <w:rFonts w:ascii="Times New Roman" w:hAnsi="Times New Roman" w:cs="Times New Roman"/>
          <w:sz w:val="30"/>
          <w:szCs w:val="30"/>
          <w:lang w:val="ru-RU"/>
        </w:rPr>
        <w:t xml:space="preserve">учащихся с СДВГ </w:t>
      </w:r>
      <w:r w:rsidRPr="002645CB">
        <w:rPr>
          <w:rFonts w:ascii="Times New Roman" w:hAnsi="Times New Roman" w:cs="Times New Roman"/>
          <w:sz w:val="30"/>
          <w:szCs w:val="30"/>
        </w:rPr>
        <w:t xml:space="preserve">осуществляется посредством следующих </w:t>
      </w:r>
      <w:r w:rsidRPr="002645CB">
        <w:rPr>
          <w:rFonts w:ascii="Times New Roman" w:hAnsi="Times New Roman" w:cs="Times New Roman"/>
          <w:bCs/>
          <w:iCs/>
          <w:sz w:val="30"/>
          <w:szCs w:val="30"/>
        </w:rPr>
        <w:t>направлений</w:t>
      </w:r>
      <w:r w:rsidRPr="002645CB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E851D5" w:rsidRPr="001834E9" w:rsidRDefault="00E851D5" w:rsidP="001834E9">
      <w:pPr>
        <w:pStyle w:val="a4"/>
        <w:widowControl w:val="0"/>
        <w:numPr>
          <w:ilvl w:val="0"/>
          <w:numId w:val="2"/>
        </w:numPr>
        <w:tabs>
          <w:tab w:val="num" w:pos="851"/>
          <w:tab w:val="num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1834E9">
        <w:rPr>
          <w:rFonts w:ascii="Times New Roman" w:hAnsi="Times New Roman" w:cs="Times New Roman"/>
          <w:sz w:val="30"/>
          <w:szCs w:val="30"/>
        </w:rPr>
        <w:t>развитие зрительных, слуховых, тактильных, вестибулярных, обонятельных, осязательных ощущений;</w:t>
      </w:r>
    </w:p>
    <w:p w:rsidR="00E851D5" w:rsidRPr="001834E9" w:rsidRDefault="00E851D5" w:rsidP="001834E9">
      <w:pPr>
        <w:pStyle w:val="a4"/>
        <w:widowControl w:val="0"/>
        <w:numPr>
          <w:ilvl w:val="0"/>
          <w:numId w:val="2"/>
        </w:numPr>
        <w:tabs>
          <w:tab w:val="num" w:pos="851"/>
          <w:tab w:val="num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30"/>
          <w:szCs w:val="30"/>
        </w:rPr>
      </w:pPr>
      <w:r w:rsidRPr="001834E9">
        <w:rPr>
          <w:rFonts w:ascii="Times New Roman" w:hAnsi="Times New Roman" w:cs="Times New Roman"/>
          <w:sz w:val="30"/>
          <w:szCs w:val="30"/>
        </w:rPr>
        <w:t>развитие мышечных реакций: обучение мимической гимнастике; обучение пантомимическим упражнениям на понимание эмоций; обучение умениям уменьшать (снимать) мышечное и эмоциональное напряжение посредством выполнения релаксационных упражнений;</w:t>
      </w:r>
    </w:p>
    <w:p w:rsidR="00E851D5" w:rsidRPr="001834E9" w:rsidRDefault="00E851D5" w:rsidP="001834E9">
      <w:pPr>
        <w:pStyle w:val="a4"/>
        <w:widowControl w:val="0"/>
        <w:numPr>
          <w:ilvl w:val="0"/>
          <w:numId w:val="2"/>
        </w:numPr>
        <w:tabs>
          <w:tab w:val="num" w:pos="851"/>
          <w:tab w:val="num" w:pos="1080"/>
        </w:tabs>
        <w:spacing w:after="0" w:line="240" w:lineRule="auto"/>
        <w:ind w:left="142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 w:rsidRPr="001834E9">
        <w:rPr>
          <w:rFonts w:ascii="Times New Roman" w:hAnsi="Times New Roman" w:cs="Times New Roman"/>
          <w:sz w:val="30"/>
          <w:szCs w:val="30"/>
        </w:rPr>
        <w:t xml:space="preserve">развитие и коррекция эмоциональной сферы детей: обучение умению фиксировать свое внимание на эмоциональном состоянии других – </w:t>
      </w:r>
      <w:r w:rsidRPr="001834E9">
        <w:rPr>
          <w:rFonts w:ascii="Times New Roman" w:hAnsi="Times New Roman" w:cs="Times New Roman"/>
          <w:sz w:val="30"/>
          <w:szCs w:val="30"/>
        </w:rPr>
        <w:lastRenderedPageBreak/>
        <w:t>людей и животных; обучение правильному восприятию и распознаванию эмоционального состояния другого человека по внешним признакам того или иного чувства (</w:t>
      </w:r>
      <w:r w:rsidRPr="001834E9">
        <w:rPr>
          <w:rFonts w:ascii="Times New Roman" w:hAnsi="Times New Roman" w:cs="Times New Roman"/>
          <w:iCs/>
          <w:sz w:val="30"/>
          <w:szCs w:val="30"/>
        </w:rPr>
        <w:t xml:space="preserve">радость, печаль, спокойствие, интерес, удивление, </w:t>
      </w:r>
      <w:r w:rsidRPr="001834E9">
        <w:rPr>
          <w:rFonts w:ascii="Times New Roman" w:hAnsi="Times New Roman" w:cs="Times New Roman"/>
          <w:iCs/>
          <w:spacing w:val="-10"/>
          <w:sz w:val="30"/>
          <w:szCs w:val="30"/>
        </w:rPr>
        <w:t>злость, страх</w:t>
      </w:r>
      <w:r w:rsidRPr="001834E9">
        <w:rPr>
          <w:rFonts w:ascii="Times New Roman" w:hAnsi="Times New Roman" w:cs="Times New Roman"/>
          <w:spacing w:val="-10"/>
          <w:sz w:val="30"/>
          <w:szCs w:val="30"/>
        </w:rPr>
        <w:t>); обучение умению понимать и анализировать собственные эмоции.</w:t>
      </w:r>
    </w:p>
    <w:p w:rsidR="00416260" w:rsidRPr="00C53FB9" w:rsidRDefault="00416260" w:rsidP="0041626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45706C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Эффективные результаты коррекции синдрома дефицита внимания и </w:t>
      </w:r>
      <w:r w:rsidRPr="00C53FB9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гиперактивности достигаются при оптимальном сочетании медикаментозных и немедикаментозных методов, к которым относятся психологические и нейропсихологические коррекционные программы.</w:t>
      </w:r>
    </w:p>
    <w:p w:rsidR="002645CB" w:rsidRPr="00C53FB9" w:rsidRDefault="002645CB" w:rsidP="008F64E3">
      <w:pPr>
        <w:shd w:val="clear" w:color="auto" w:fill="FFFFFF"/>
        <w:spacing w:after="0" w:line="315" w:lineRule="atLeast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C53FB9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Проводить коррекционную работу с детьми данной категории нелегко. Важно изучить особенности таких детей, причины их возникновения. Главное понимать, что предстоит занятие с необычным ребёнком, и по-другому такие дети вести себя просто не могут. Нужно принять их такими, какие они есть.</w:t>
      </w:r>
    </w:p>
    <w:p w:rsidR="002645CB" w:rsidRPr="00C53FB9" w:rsidRDefault="002645CB" w:rsidP="002645CB">
      <w:pPr>
        <w:shd w:val="clear" w:color="auto" w:fill="FFFFFF"/>
        <w:spacing w:after="0" w:line="315" w:lineRule="atLeast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</w:pPr>
    </w:p>
    <w:p w:rsidR="00C53FB9" w:rsidRDefault="00C53FB9" w:rsidP="00C53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53FB9" w:rsidRDefault="00C53FB9" w:rsidP="00C53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C53FB9" w:rsidRPr="00C53FB9" w:rsidRDefault="00C53FB9" w:rsidP="00C53F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3FB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Список литературы</w:t>
      </w:r>
    </w:p>
    <w:p w:rsidR="00C53FB9" w:rsidRPr="00C53FB9" w:rsidRDefault="00C53FB9" w:rsidP="00C5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53F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 Ануфриев А.Ф., Костромина С.Н. Как преодолеть трудности в обучении детей. – М.: 2003.</w:t>
      </w:r>
    </w:p>
    <w:p w:rsidR="00C53FB9" w:rsidRPr="00C53FB9" w:rsidRDefault="00C53FB9" w:rsidP="00C5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C53F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 Кошелева А.Д., Алексеева Л.С. Диагностика и коррекция гиперактивности ребенка. – М.: НИИ семьи, 1997.</w:t>
      </w:r>
    </w:p>
    <w:p w:rsidR="00C53FB9" w:rsidRPr="00C53FB9" w:rsidRDefault="00C53FB9" w:rsidP="00C5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C53F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Романчук О.И. Синдром дефицита внимания и гиперактивности у детей. – М.: Генезис, 2010.</w:t>
      </w:r>
    </w:p>
    <w:p w:rsidR="00C53FB9" w:rsidRPr="00C53FB9" w:rsidRDefault="00C53FB9" w:rsidP="00C53F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C53FB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 Сиротюк А.Л. Синдром дефицита внимания с гиперактивностью. – М.: Сфера, 2002.</w:t>
      </w:r>
    </w:p>
    <w:p w:rsidR="006809EF" w:rsidRPr="002645CB" w:rsidRDefault="006809EF">
      <w:pPr>
        <w:rPr>
          <w:sz w:val="30"/>
          <w:szCs w:val="30"/>
        </w:rPr>
      </w:pPr>
    </w:p>
    <w:sectPr w:rsidR="006809EF" w:rsidRPr="00264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61B4C"/>
    <w:multiLevelType w:val="hybridMultilevel"/>
    <w:tmpl w:val="BA641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1510FE7"/>
    <w:multiLevelType w:val="hybridMultilevel"/>
    <w:tmpl w:val="84A66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D5"/>
    <w:rsid w:val="00151E89"/>
    <w:rsid w:val="001834E9"/>
    <w:rsid w:val="00220A6A"/>
    <w:rsid w:val="0024600D"/>
    <w:rsid w:val="002645CB"/>
    <w:rsid w:val="002E1192"/>
    <w:rsid w:val="003B0F9F"/>
    <w:rsid w:val="003F6F1E"/>
    <w:rsid w:val="00416260"/>
    <w:rsid w:val="0045706C"/>
    <w:rsid w:val="00520E57"/>
    <w:rsid w:val="005C724D"/>
    <w:rsid w:val="006460B0"/>
    <w:rsid w:val="006809EF"/>
    <w:rsid w:val="00890ED6"/>
    <w:rsid w:val="008F64E3"/>
    <w:rsid w:val="009D16EE"/>
    <w:rsid w:val="00AC7A1C"/>
    <w:rsid w:val="00B06B07"/>
    <w:rsid w:val="00C53FB9"/>
    <w:rsid w:val="00C80DA0"/>
    <w:rsid w:val="00CA735D"/>
    <w:rsid w:val="00D056F4"/>
    <w:rsid w:val="00E2019C"/>
    <w:rsid w:val="00E8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BA64B"/>
  <w15:docId w15:val="{CFBE2E71-0725-4378-A2B9-A6449172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1D5"/>
    <w:pPr>
      <w:spacing w:line="256" w:lineRule="auto"/>
    </w:pPr>
    <w:rPr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Points Знак,Bullet list Знак,Elenco Bullet point Знак,Farbige Liste - Akzent 11 Знак,Ha Знак,Liste Paragraf Знак,Liste Paragraf1 Знак,Liststycke SKL Знак,Normal bullet 2 Знак,References Знак,Table of contents numbered Знак"/>
    <w:basedOn w:val="a0"/>
    <w:link w:val="a4"/>
    <w:uiPriority w:val="34"/>
    <w:locked/>
    <w:rsid w:val="00E851D5"/>
  </w:style>
  <w:style w:type="paragraph" w:styleId="a4">
    <w:name w:val="List Paragraph"/>
    <w:aliases w:val="Bullet Points,Bullet list,Elenco Bullet point,Farbige Liste - Akzent 11,Ha,Liste Paragraf,Liste Paragraf1,Liststycke SKL,Normal bullet 2,References,Sombreado multicolor - Énfasis 31,Table of contents numbered,Titre1,içindekiler vb"/>
    <w:basedOn w:val="a"/>
    <w:link w:val="a3"/>
    <w:uiPriority w:val="34"/>
    <w:qFormat/>
    <w:rsid w:val="00E851D5"/>
    <w:pPr>
      <w:ind w:left="720"/>
      <w:contextualSpacing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9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ED6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 qwerty</dc:creator>
  <cp:keywords/>
  <dc:description/>
  <cp:lastModifiedBy>John Silver</cp:lastModifiedBy>
  <cp:revision>19</cp:revision>
  <cp:lastPrinted>2024-10-28T11:19:00Z</cp:lastPrinted>
  <dcterms:created xsi:type="dcterms:W3CDTF">2024-11-13T07:59:00Z</dcterms:created>
  <dcterms:modified xsi:type="dcterms:W3CDTF">2025-04-01T17:46:00Z</dcterms:modified>
</cp:coreProperties>
</file>