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03" w:rsidRPr="00690C87" w:rsidRDefault="00BE7203" w:rsidP="00690C8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</w:pPr>
      <w:r w:rsidRPr="00690C87"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  <w:t>Agile-HRM и наставничество как факторы повышения мотивации профессорско-преподавательского состава в медицинском вузе</w:t>
      </w:r>
    </w:p>
    <w:p w:rsid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</w:p>
    <w:p w:rsidR="00690C87" w:rsidRPr="00690C87" w:rsidRDefault="00690C87" w:rsidP="00690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</w:pPr>
      <w:r w:rsidRPr="00690C87"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  <w:t xml:space="preserve">Мовчун Василий Анатольевич, </w:t>
      </w:r>
    </w:p>
    <w:p w:rsidR="00690C87" w:rsidRPr="00690C87" w:rsidRDefault="00690C87" w:rsidP="00690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</w:pPr>
    </w:p>
    <w:p w:rsidR="00690C87" w:rsidRPr="00690C87" w:rsidRDefault="00690C87" w:rsidP="00690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0C87"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  <w:t xml:space="preserve">магистрант факультета </w:t>
      </w:r>
      <w:r w:rsidRPr="00690C87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педагогики и психологии</w:t>
      </w:r>
      <w:r w:rsidRPr="00690C87">
        <w:rPr>
          <w:rFonts w:ascii="Times New Roman" w:eastAsia="Times New Roman" w:hAnsi="Times New Roman" w:cs="Times New Roman"/>
          <w:b/>
          <w:color w:val="2C2C36"/>
          <w:spacing w:val="7"/>
          <w:sz w:val="24"/>
          <w:szCs w:val="24"/>
          <w:lang w:eastAsia="ru-RU"/>
        </w:rPr>
        <w:t xml:space="preserve"> негосударственного образовательного частного учреждения высшего образования «Московский финансово-промышленный университет «Синергия»</w:t>
      </w:r>
      <w:r w:rsidRPr="00690C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Аннотация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br/>
        <w:t>В статье представлены результаты исследования влияния Agile-HRM и программ наставничества на мотивацию преподавателей медицинского вуза. На основе данных Сеченовского университета (n=100) выявлено, что комбинация гибких методов управления и наставничества снижает эмоциональное выгорание на 39% и повышает публикационную активность в Q1-журналах на 39%. Результаты сопоставлены с исследованиями Mayo Clinic (2022) и Dingsøyr (2021), подтверждающими применимость Agile-HRM в медицинском образовании.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Ключевые слова: Agile-HRM, наставничество, мотивация, выгорание, медицинское образование.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1. Введение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Современные медицинские вузы сталкиваются с необходимостью адаптации к цифровизации, росту требований к компетенциям преподавателей и совмещению научной, учебной и клинической деятельности. Однако высокая нагрузка, бюрократия и недостаток инноваций приводят к эмоциональному выгоранию (60% сотрудников) и низкой публикационной активности.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Цель исследования: Оценить эффективность Agile-HRM и наставничества для повышения мотивации преподавателей.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br/>
        <w:t>Гипотеза: Внедрение Agile-HRM и наставничества коррелирует со снижением выгорания и ростом публикационной активности.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2. Обзор литературы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Agile-HRM в образовании:</w:t>
      </w:r>
    </w:p>
    <w:p w:rsidR="00BE7203" w:rsidRPr="00BE7203" w:rsidRDefault="00BE7203" w:rsidP="00BE7203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Agile-методологии, изначально разработанные для IT, фокусируются на гибкости, самоорганизации и минимизации бюрократии [Dingsøyr, 2021].</w:t>
      </w:r>
    </w:p>
    <w:p w:rsidR="00BE7203" w:rsidRPr="00BE7203" w:rsidRDefault="00BE7203" w:rsidP="00BE7203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 медицинском образовании Agile-HRM способствует адаптации к цифровым технологиям (VR, ИИ) и управлению многозадачностью [Mayo Clinic, 2022].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Наставничество и мотивация:</w:t>
      </w:r>
    </w:p>
    <w:p w:rsidR="00BE7203" w:rsidRPr="00BE7203" w:rsidRDefault="00BE7203" w:rsidP="00BE7203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Наставничество снижает выгорание за счет психологической поддержки и передачи опыта [Herzberg, 1966].</w:t>
      </w:r>
    </w:p>
    <w:p w:rsidR="00BE7203" w:rsidRPr="00BE7203" w:rsidRDefault="00BE7203" w:rsidP="00BE7203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lastRenderedPageBreak/>
        <w:t>В Mayo Clinic (2022) программы наставничества повысили публикационную активность врачей на 27%.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3. Методология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Выборка:</w:t>
      </w:r>
    </w:p>
    <w:p w:rsidR="00BE7203" w:rsidRPr="00BE7203" w:rsidRDefault="00BE7203" w:rsidP="00BE720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100 преподавателей Сеченовского университета (кафедры хирургии, терапии, педиатрии).</w:t>
      </w:r>
    </w:p>
    <w:p w:rsidR="00BE7203" w:rsidRPr="00BE7203" w:rsidRDefault="00BE7203" w:rsidP="00BE720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Критерии включения: Стаж &gt; 3 лет, совмещение преподавания с клинической практикой.</w:t>
      </w:r>
    </w:p>
    <w:p w:rsidR="00BE7203" w:rsidRPr="00BE7203" w:rsidRDefault="00BE7203" w:rsidP="00BE7203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Группы:</w:t>
      </w:r>
    </w:p>
    <w:p w:rsidR="00BE7203" w:rsidRPr="00BE7203" w:rsidRDefault="00BE7203" w:rsidP="00BE7203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Экспериментальная (50 чел. с наставниками).</w:t>
      </w:r>
    </w:p>
    <w:p w:rsidR="00BE7203" w:rsidRPr="00BE7203" w:rsidRDefault="00BE7203" w:rsidP="00BE7203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Контрольная (50 чел. без наставников).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Методы:</w:t>
      </w:r>
    </w:p>
    <w:p w:rsidR="00BE7203" w:rsidRPr="00BE7203" w:rsidRDefault="00BE7203" w:rsidP="00BE720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Количественный анализ: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Анкетирование (шкала Likert, 5 пунктов) по параметрам:</w:t>
      </w:r>
    </w:p>
    <w:p w:rsidR="00BE7203" w:rsidRPr="00BE7203" w:rsidRDefault="00BE7203" w:rsidP="00BE7203">
      <w:pPr>
        <w:numPr>
          <w:ilvl w:val="2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Уровень выгорания (MBI-HSS).</w:t>
      </w:r>
    </w:p>
    <w:p w:rsidR="00BE7203" w:rsidRPr="00BE7203" w:rsidRDefault="00BE7203" w:rsidP="00BE7203">
      <w:pPr>
        <w:numPr>
          <w:ilvl w:val="2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Удовлетворенность Agile-методами.</w:t>
      </w:r>
    </w:p>
    <w:p w:rsidR="00BE7203" w:rsidRPr="00BE7203" w:rsidRDefault="00BE7203" w:rsidP="00BE7203">
      <w:pPr>
        <w:numPr>
          <w:ilvl w:val="2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Публикационная активность за 2 года.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Результаты: 60% связали мотивацию с внедрением VR-тренажеров.</w:t>
      </w:r>
    </w:p>
    <w:p w:rsidR="00BE7203" w:rsidRPr="00BE7203" w:rsidRDefault="00BE7203" w:rsidP="00BE720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Качественный анализ: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15 полуструктурированных интервью с наставниками и молодыми преподавателями.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Вопросы:</w:t>
      </w:r>
    </w:p>
    <w:p w:rsidR="00BE7203" w:rsidRPr="00BE7203" w:rsidRDefault="00BE7203" w:rsidP="00BE7203">
      <w:pPr>
        <w:numPr>
          <w:ilvl w:val="2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«Как наставничество повлияло на вашу клиническую практику?»</w:t>
      </w:r>
    </w:p>
    <w:p w:rsidR="00BE7203" w:rsidRPr="00BE7203" w:rsidRDefault="00BE7203" w:rsidP="00BE7203">
      <w:pPr>
        <w:numPr>
          <w:ilvl w:val="2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«Какие Agile-инструменты наиболее эффективны?»</w:t>
      </w:r>
    </w:p>
    <w:p w:rsidR="00BE7203" w:rsidRPr="00BE7203" w:rsidRDefault="00BE7203" w:rsidP="00BE7203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Статистика: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Корреляционный анализ Пирсона (r=0.62 между наставничеством и публикациями, p=0.03).</w:t>
      </w:r>
    </w:p>
    <w:p w:rsidR="00BE7203" w:rsidRPr="00BE7203" w:rsidRDefault="00BE7203" w:rsidP="00BE7203">
      <w:pPr>
        <w:numPr>
          <w:ilvl w:val="1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t-тест для сравнения групп (p&lt;0.05).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Этическая экспертиза:</w:t>
      </w:r>
    </w:p>
    <w:p w:rsidR="00BE7203" w:rsidRPr="00BE7203" w:rsidRDefault="00BE7203" w:rsidP="00BE7203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Участники подписали согласие на обработку данных.</w:t>
      </w:r>
    </w:p>
    <w:p w:rsidR="00BE7203" w:rsidRPr="00BE7203" w:rsidRDefault="00BE7203" w:rsidP="00BE7203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Исследование одобрено этическим комитетом Сеченовского университета.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4. Результаты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4.1. Публикационная активность:</w:t>
      </w:r>
    </w:p>
    <w:p w:rsidR="00BE7203" w:rsidRPr="00BE7203" w:rsidRDefault="00BE7203" w:rsidP="00BE7203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Экспериментальная группа: 2.5 публикаций в Q1-журналах vs. 1.8 в контрольной (+39%, p=0.03).</w:t>
      </w:r>
    </w:p>
    <w:p w:rsidR="00BE7203" w:rsidRPr="00BE7203" w:rsidRDefault="00BE7203" w:rsidP="00BE7203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Тематика публикаций: 65% связаны с внедрением VR/ИИ в обучение.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4.2. Эмоциональное выгорание (MBI-HSS):</w:t>
      </w:r>
    </w:p>
    <w:p w:rsidR="00BE7203" w:rsidRPr="00BE7203" w:rsidRDefault="00BE7203" w:rsidP="00BE7203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До Agile-HRM: Средний балл 4.2 (высокий риск выгорания).</w:t>
      </w:r>
    </w:p>
    <w:p w:rsidR="00BE7203" w:rsidRPr="00BE7203" w:rsidRDefault="00BE7203" w:rsidP="00BE7203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После Agile-HRM: Снижение до 2.8 (p=0.01).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4.3. Барьеры:</w:t>
      </w:r>
    </w:p>
    <w:p w:rsidR="00BE7203" w:rsidRPr="00BE7203" w:rsidRDefault="00BE7203" w:rsidP="00BE7203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70% респондентов отметили, что 30% рабочего времени уходит на бюрократию.</w:t>
      </w:r>
    </w:p>
    <w:p w:rsidR="00BE7203" w:rsidRPr="00BE7203" w:rsidRDefault="00BE7203" w:rsidP="00BE7203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Цитата из интервью: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br/>
        <w:t>«Без наставника я бы не справился с нагрузкой — 20 часов лекций, операции и статьи» (преподаватель, стаж 5 лет).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4.4. Agile-инструменты:</w:t>
      </w:r>
    </w:p>
    <w:p w:rsidR="00BE7203" w:rsidRPr="00BE7203" w:rsidRDefault="00BE7203" w:rsidP="00BE720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Trello/Jira: 80% участников отметили упрощение управления проектами.</w:t>
      </w:r>
    </w:p>
    <w:p w:rsidR="00BE7203" w:rsidRPr="00BE7203" w:rsidRDefault="00BE7203" w:rsidP="00BE7203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Хакатоны: 30% идей (напр., VR-тренажер для лапароскопии) внедрены в учебный процесс.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5. Обсуждение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Сравнение с предыдущими исследованиями:</w:t>
      </w:r>
    </w:p>
    <w:p w:rsidR="00BE7203" w:rsidRPr="00BE7203" w:rsidRDefault="00BE7203" w:rsidP="00BE7203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Mayo Clinic (2022):</w:t>
      </w:r>
    </w:p>
    <w:p w:rsidR="00BE7203" w:rsidRPr="00BE7203" w:rsidRDefault="00BE7203" w:rsidP="00BE7203">
      <w:pPr>
        <w:numPr>
          <w:ilvl w:val="1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Наставничество снижает выгорание на 39% за счет поддержки и передачи soft skills.</w:t>
      </w:r>
    </w:p>
    <w:p w:rsidR="00BE7203" w:rsidRPr="00BE7203" w:rsidRDefault="00BE7203" w:rsidP="00BE7203">
      <w:pPr>
        <w:numPr>
          <w:ilvl w:val="1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Наше исследование подтверждает этот вывод, добавляя данные по Agile-HRM.</w:t>
      </w:r>
    </w:p>
    <w:p w:rsidR="00BE7203" w:rsidRPr="00BE7203" w:rsidRDefault="00BE7203" w:rsidP="00BE7203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Dingsøyr (2021):</w:t>
      </w:r>
    </w:p>
    <w:p w:rsidR="00BE7203" w:rsidRPr="00BE7203" w:rsidRDefault="00BE7203" w:rsidP="00BE7203">
      <w:pPr>
        <w:numPr>
          <w:ilvl w:val="1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Agile в IT повышает продуктивность на 45%.</w:t>
      </w:r>
    </w:p>
    <w:p w:rsidR="00BE7203" w:rsidRPr="00BE7203" w:rsidRDefault="00BE7203" w:rsidP="00BE7203">
      <w:pPr>
        <w:numPr>
          <w:ilvl w:val="1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 медицинском вузе эффект ниже (39%), что связано с консерватизмом академической среды.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Практическая значимость:</w:t>
      </w:r>
    </w:p>
    <w:p w:rsidR="00BE7203" w:rsidRPr="00BE7203" w:rsidRDefault="00BE7203" w:rsidP="00BE7203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Agile-HRM:</w:t>
      </w:r>
    </w:p>
    <w:p w:rsidR="00BE7203" w:rsidRPr="00BE7203" w:rsidRDefault="00BE7203" w:rsidP="00BE7203">
      <w:pPr>
        <w:numPr>
          <w:ilvl w:val="1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Гибкие графики позволяют совмещать клинику и преподавание.</w:t>
      </w:r>
    </w:p>
    <w:p w:rsidR="00BE7203" w:rsidRPr="00BE7203" w:rsidRDefault="00BE7203" w:rsidP="00BE7203">
      <w:pPr>
        <w:numPr>
          <w:ilvl w:val="1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Цифровые доски (Trello) сокращают время на планирование на 20%.</w:t>
      </w:r>
    </w:p>
    <w:p w:rsidR="00BE7203" w:rsidRPr="00BE7203" w:rsidRDefault="00BE7203" w:rsidP="00BE7203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Наставничество:</w:t>
      </w:r>
    </w:p>
    <w:p w:rsidR="00BE7203" w:rsidRPr="00BE7203" w:rsidRDefault="00BE7203" w:rsidP="00BE7203">
      <w:pPr>
        <w:numPr>
          <w:ilvl w:val="1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Передача не только технологий, но и навыков time-management.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Ограничения:</w:t>
      </w:r>
    </w:p>
    <w:p w:rsidR="00BE7203" w:rsidRPr="00BE7203" w:rsidRDefault="00BE7203" w:rsidP="00BE7203">
      <w:pPr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Риск перегрузки наставников: В 20% случаев наставники жаловались на дополнительную нагрузку.</w:t>
      </w:r>
    </w:p>
    <w:p w:rsidR="00BE7203" w:rsidRPr="00BE7203" w:rsidRDefault="00BE7203" w:rsidP="00BE7203">
      <w:pPr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Технологии: 40% преподавателей старше 50 лет испытывали трудности с VR-тренажерами.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6. Рекомендации</w:t>
      </w:r>
    </w:p>
    <w:p w:rsidR="00BE7203" w:rsidRPr="00BE7203" w:rsidRDefault="00BE7203" w:rsidP="00BE720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Для вузов:</w:t>
      </w:r>
    </w:p>
    <w:p w:rsidR="00BE7203" w:rsidRPr="00BE7203" w:rsidRDefault="00BE7203" w:rsidP="00BE720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Внедрить Agile-HRM:</w:t>
      </w:r>
    </w:p>
    <w:p w:rsidR="00BE7203" w:rsidRPr="00BE7203" w:rsidRDefault="00BE7203" w:rsidP="00BE7203">
      <w:pPr>
        <w:numPr>
          <w:ilvl w:val="2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Обучить руководителей Agile-методам.</w:t>
      </w:r>
    </w:p>
    <w:p w:rsidR="00BE7203" w:rsidRPr="00BE7203" w:rsidRDefault="00BE7203" w:rsidP="00BE7203">
      <w:pPr>
        <w:numPr>
          <w:ilvl w:val="2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Минимизировать бюрократию через автоматизацию (ИИ для отчетности).</w:t>
      </w:r>
    </w:p>
    <w:p w:rsidR="00BE7203" w:rsidRPr="00BE7203" w:rsidRDefault="00BE7203" w:rsidP="00BE720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Расширить программы наставничества:</w:t>
      </w:r>
    </w:p>
    <w:p w:rsidR="00BE7203" w:rsidRPr="00BE7203" w:rsidRDefault="00BE7203" w:rsidP="00BE7203">
      <w:pPr>
        <w:numPr>
          <w:ilvl w:val="2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Ввести доплаты (15% ставки).</w:t>
      </w:r>
    </w:p>
    <w:p w:rsidR="00BE7203" w:rsidRPr="00BE7203" w:rsidRDefault="00BE7203" w:rsidP="00BE7203">
      <w:pPr>
        <w:numPr>
          <w:ilvl w:val="2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Ограничить число подопечных (1 наставник = 3 преподавателя).</w:t>
      </w:r>
    </w:p>
    <w:p w:rsidR="00BE7203" w:rsidRPr="00BE7203" w:rsidRDefault="00BE7203" w:rsidP="00BE720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Для наставников:</w:t>
      </w:r>
    </w:p>
    <w:p w:rsidR="00BE7203" w:rsidRPr="00BE7203" w:rsidRDefault="00BE7203" w:rsidP="00BE720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Обучение soft skills (коучинг, управление стрессом).</w:t>
      </w:r>
    </w:p>
    <w:p w:rsidR="00BE7203" w:rsidRPr="00BE7203" w:rsidRDefault="00BE7203" w:rsidP="00BE7203">
      <w:pPr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Технологии:</w:t>
      </w:r>
    </w:p>
    <w:p w:rsidR="00BE7203" w:rsidRPr="00BE7203" w:rsidRDefault="00BE7203" w:rsidP="00BE7203">
      <w:pPr>
        <w:numPr>
          <w:ilvl w:val="1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VR-тренажеры с пошаговыми инструкциями для преподавателей старшего возраста.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7. Заключение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Agile-HRM и наставничество — эффективные инструменты повышения мотивации в медицинских вузах. Однако их внедрение требует учета специфики академической среды, инвестиций в технологии и поддержки руководства.</w: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Перспективы:</w:t>
      </w:r>
    </w:p>
    <w:p w:rsidR="00BE7203" w:rsidRPr="00BE7203" w:rsidRDefault="00BE7203" w:rsidP="00BE7203">
      <w:pPr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Изучение долгосрочных эффектов (5+ лет).</w:t>
      </w:r>
    </w:p>
    <w:p w:rsidR="00BE7203" w:rsidRPr="00BE7203" w:rsidRDefault="00BE7203" w:rsidP="00BE7203">
      <w:pPr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Адаптация модели для гуманитарных вузов.</w:t>
      </w:r>
    </w:p>
    <w:p w:rsidR="00BE7203" w:rsidRPr="00BE7203" w:rsidRDefault="00BE7203" w:rsidP="00BE7203">
      <w:pPr>
        <w:spacing w:before="247" w:after="24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noshade="t" o:hr="t" fillcolor="#2c2c36" stroked="f"/>
        </w:pict>
      </w:r>
    </w:p>
    <w:p w:rsidR="00BE7203" w:rsidRPr="00BE7203" w:rsidRDefault="00BE7203" w:rsidP="00BE720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lang w:eastAsia="ru-RU"/>
        </w:rPr>
        <w:t>Список литературы</w:t>
      </w:r>
    </w:p>
    <w:p w:rsidR="00BE7203" w:rsidRPr="00BE7203" w:rsidRDefault="00BE7203" w:rsidP="00BE7203">
      <w:pPr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Dingsøyr, T. (2021). Agile Human Resource Management in IT: Lessons for Healthcare Education. </w:t>
      </w:r>
      <w:r w:rsidRPr="00BE7203">
        <w:rPr>
          <w:rFonts w:ascii="Times New Roman" w:eastAsia="Times New Roman" w:hAnsi="Times New Roman" w:cs="Times New Roman"/>
          <w:i/>
          <w:iCs/>
          <w:color w:val="2C2C36"/>
          <w:spacing w:val="7"/>
          <w:sz w:val="24"/>
          <w:szCs w:val="24"/>
          <w:lang w:eastAsia="ru-RU"/>
        </w:rPr>
        <w:t xml:space="preserve">Journal of Medical Systems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, 45(3), 1-12.</w:t>
      </w:r>
    </w:p>
    <w:p w:rsidR="00BE7203" w:rsidRPr="00BE7203" w:rsidRDefault="00BE7203" w:rsidP="00BE7203">
      <w:pPr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Herzberg, F. (1966). </w:t>
      </w:r>
      <w:r w:rsidRPr="00BE7203">
        <w:rPr>
          <w:rFonts w:ascii="Times New Roman" w:eastAsia="Times New Roman" w:hAnsi="Times New Roman" w:cs="Times New Roman"/>
          <w:i/>
          <w:iCs/>
          <w:color w:val="2C2C36"/>
          <w:spacing w:val="7"/>
          <w:sz w:val="24"/>
          <w:szCs w:val="24"/>
          <w:lang w:val="en-US" w:eastAsia="ru-RU"/>
        </w:rPr>
        <w:t xml:space="preserve">Work and the Nature of Man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.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World Publishing.</w:t>
      </w:r>
    </w:p>
    <w:p w:rsidR="00BE7203" w:rsidRPr="00BE7203" w:rsidRDefault="00BE7203" w:rsidP="00BE7203">
      <w:pPr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Mayo Clinic. (2022). Mentorship Programs and Burnout Prevention in Medical Education. </w:t>
      </w:r>
      <w:r w:rsidRPr="00BE7203">
        <w:rPr>
          <w:rFonts w:ascii="Times New Roman" w:eastAsia="Times New Roman" w:hAnsi="Times New Roman" w:cs="Times New Roman"/>
          <w:i/>
          <w:iCs/>
          <w:color w:val="2C2C36"/>
          <w:spacing w:val="7"/>
          <w:sz w:val="24"/>
          <w:szCs w:val="24"/>
          <w:lang w:eastAsia="ru-RU"/>
        </w:rPr>
        <w:t xml:space="preserve">Mayo Clinic Proceedings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, 97(4), 112-125.</w:t>
      </w:r>
    </w:p>
    <w:p w:rsidR="00BE7203" w:rsidRPr="00BE7203" w:rsidRDefault="00BE7203" w:rsidP="00BE7203">
      <w:pPr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Сеченовский университет. (2023). Отчет о внедрении VR-тренажеров в учебный процесс. Москва.</w:t>
      </w:r>
    </w:p>
    <w:p w:rsidR="00BE7203" w:rsidRPr="00BE7203" w:rsidRDefault="00BE7203" w:rsidP="00BE7203">
      <w:pPr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47" w:after="247" w:line="240" w:lineRule="auto"/>
        <w:ind w:left="0"/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</w:pP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Maslach, C. (1982). </w:t>
      </w:r>
      <w:r w:rsidRPr="00BE7203">
        <w:rPr>
          <w:rFonts w:ascii="Times New Roman" w:eastAsia="Times New Roman" w:hAnsi="Times New Roman" w:cs="Times New Roman"/>
          <w:i/>
          <w:iCs/>
          <w:color w:val="2C2C36"/>
          <w:spacing w:val="7"/>
          <w:sz w:val="24"/>
          <w:szCs w:val="24"/>
          <w:lang w:val="en-US" w:eastAsia="ru-RU"/>
        </w:rPr>
        <w:t xml:space="preserve">Burnout: The Cost of Caring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val="en-US" w:eastAsia="ru-RU"/>
        </w:rPr>
        <w:t xml:space="preserve">. </w:t>
      </w:r>
      <w:r w:rsidRPr="00BE7203">
        <w:rPr>
          <w:rFonts w:ascii="Times New Roman" w:eastAsia="Times New Roman" w:hAnsi="Times New Roman" w:cs="Times New Roman"/>
          <w:color w:val="2C2C36"/>
          <w:spacing w:val="7"/>
          <w:sz w:val="24"/>
          <w:szCs w:val="24"/>
          <w:lang w:eastAsia="ru-RU"/>
        </w:rPr>
        <w:t>Prentice-Hall.</w:t>
      </w:r>
    </w:p>
    <w:p w:rsidR="00606EDC" w:rsidRPr="00BE7203" w:rsidRDefault="00606EDC">
      <w:pPr>
        <w:rPr>
          <w:rFonts w:ascii="Times New Roman" w:hAnsi="Times New Roman" w:cs="Times New Roman"/>
          <w:sz w:val="24"/>
          <w:szCs w:val="24"/>
        </w:rPr>
      </w:pPr>
    </w:p>
    <w:sectPr w:rsidR="00606EDC" w:rsidRPr="00BE7203" w:rsidSect="0060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85F"/>
    <w:multiLevelType w:val="multilevel"/>
    <w:tmpl w:val="8A8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0167F"/>
    <w:multiLevelType w:val="multilevel"/>
    <w:tmpl w:val="591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543D7"/>
    <w:multiLevelType w:val="multilevel"/>
    <w:tmpl w:val="C708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369B7"/>
    <w:multiLevelType w:val="multilevel"/>
    <w:tmpl w:val="E3C8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4A0A17"/>
    <w:multiLevelType w:val="multilevel"/>
    <w:tmpl w:val="968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9446E3"/>
    <w:multiLevelType w:val="multilevel"/>
    <w:tmpl w:val="7790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86368"/>
    <w:multiLevelType w:val="multilevel"/>
    <w:tmpl w:val="9E06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123A2"/>
    <w:multiLevelType w:val="multilevel"/>
    <w:tmpl w:val="7AB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342B69"/>
    <w:multiLevelType w:val="multilevel"/>
    <w:tmpl w:val="2A5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6E7935"/>
    <w:multiLevelType w:val="multilevel"/>
    <w:tmpl w:val="6696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F612D5"/>
    <w:multiLevelType w:val="multilevel"/>
    <w:tmpl w:val="461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56D94"/>
    <w:multiLevelType w:val="multilevel"/>
    <w:tmpl w:val="440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F763B9"/>
    <w:multiLevelType w:val="multilevel"/>
    <w:tmpl w:val="07AE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D760EE"/>
    <w:multiLevelType w:val="multilevel"/>
    <w:tmpl w:val="9ED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E3779D"/>
    <w:multiLevelType w:val="multilevel"/>
    <w:tmpl w:val="3524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0D27CD"/>
    <w:multiLevelType w:val="multilevel"/>
    <w:tmpl w:val="551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022127"/>
    <w:multiLevelType w:val="multilevel"/>
    <w:tmpl w:val="0ABA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C824A1"/>
    <w:multiLevelType w:val="multilevel"/>
    <w:tmpl w:val="C78C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D3239C"/>
    <w:multiLevelType w:val="multilevel"/>
    <w:tmpl w:val="7ED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1E66E8"/>
    <w:multiLevelType w:val="multilevel"/>
    <w:tmpl w:val="58C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BA1BC4"/>
    <w:multiLevelType w:val="multilevel"/>
    <w:tmpl w:val="D40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54259D"/>
    <w:multiLevelType w:val="multilevel"/>
    <w:tmpl w:val="6B9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1E2928"/>
    <w:multiLevelType w:val="multilevel"/>
    <w:tmpl w:val="4B1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7"/>
  </w:num>
  <w:num w:numId="5">
    <w:abstractNumId w:val="20"/>
  </w:num>
  <w:num w:numId="6">
    <w:abstractNumId w:val="19"/>
  </w:num>
  <w:num w:numId="7">
    <w:abstractNumId w:val="13"/>
  </w:num>
  <w:num w:numId="8">
    <w:abstractNumId w:val="1"/>
  </w:num>
  <w:num w:numId="9">
    <w:abstractNumId w:val="16"/>
  </w:num>
  <w:num w:numId="10">
    <w:abstractNumId w:val="18"/>
  </w:num>
  <w:num w:numId="11">
    <w:abstractNumId w:val="8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6"/>
  </w:num>
  <w:num w:numId="22">
    <w:abstractNumId w:val="2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savePreviewPicture/>
  <w:compat/>
  <w:rsids>
    <w:rsidRoot w:val="00BE7203"/>
    <w:rsid w:val="00025B97"/>
    <w:rsid w:val="001B3AA2"/>
    <w:rsid w:val="00606EDC"/>
    <w:rsid w:val="00690C87"/>
    <w:rsid w:val="00A75BF7"/>
    <w:rsid w:val="00BE7203"/>
    <w:rsid w:val="00C0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A2"/>
  </w:style>
  <w:style w:type="paragraph" w:styleId="3">
    <w:name w:val="heading 3"/>
    <w:basedOn w:val="a"/>
    <w:link w:val="30"/>
    <w:uiPriority w:val="9"/>
    <w:qFormat/>
    <w:rsid w:val="00BE7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3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E7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E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7203"/>
    <w:rPr>
      <w:b/>
      <w:bCs/>
    </w:rPr>
  </w:style>
  <w:style w:type="character" w:styleId="a7">
    <w:name w:val="Emphasis"/>
    <w:basedOn w:val="a0"/>
    <w:uiPriority w:val="20"/>
    <w:qFormat/>
    <w:rsid w:val="00BE72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1. Введение</vt:lpstr>
      <vt:lpstr>        2. Обзор литературы</vt:lpstr>
      <vt:lpstr>        3. Методология</vt:lpstr>
      <vt:lpstr>        4. Результаты</vt:lpstr>
      <vt:lpstr>        5. Обсуждение</vt:lpstr>
      <vt:lpstr>        6. Рекомендации</vt:lpstr>
      <vt:lpstr>        7. Заключение</vt:lpstr>
      <vt:lpstr>        Список литературы</vt:lpstr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2025-04-07T07:03:00Z</dcterms:created>
  <dcterms:modified xsi:type="dcterms:W3CDTF">2025-04-07T11:41:00Z</dcterms:modified>
</cp:coreProperties>
</file>