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ГИБРИДНЫЕ МЕРОПРИЯТИЯ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КАК СОВМЕЩАТЬ ОНЛАЙН И ОФЛАЙН ФОРМАТЫ ДЛЯ МАКСИМАЛЬНОГО ВОВЛЕЧЕНИ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Я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Демидова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</w:rPr>
        <w:t>студент гр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РСО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-1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</w:rPr>
        <w:t>СПбГУТ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Санкт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Петербургский государственный университет телекоммуникаций им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проф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М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Бонч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Бруевича  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Статья посвящена исследованию гибридных мероприятий — формата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сочетающего онлайн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и офлайн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участие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Рассматриваются ключевые технологии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инструменты и стратегии для эффективной интеграции двух форматов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Анализируются кейсы успешных гибридных ивентов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включая конференции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корпоративные встречи и массовые акции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Особое внимание уделяется психологическим и технологическим аспектам вовлечения аудитории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таким как интерактивность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геймификация и персонализация контента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На основе теоретического анализа и практических примеров формулируются рекомендации по организации гибридных мероприятий с максимальным вовлечением участников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гибридные мероприятия</w:t>
      </w:r>
      <w:r>
        <w:rPr>
          <w:rFonts w:ascii="Times New Roman" w:hAnsi="Times New Roman"/>
          <w:sz w:val="28"/>
          <w:szCs w:val="28"/>
          <w:rtl w:val="0"/>
          <w:lang w:val="en-US"/>
        </w:rPr>
        <w:t>, event-</w:t>
      </w:r>
      <w:r>
        <w:rPr>
          <w:rFonts w:ascii="Times New Roman" w:hAnsi="Times New Roman" w:hint="default"/>
          <w:sz w:val="28"/>
          <w:szCs w:val="28"/>
          <w:rtl w:val="0"/>
        </w:rPr>
        <w:t>маркетинг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вовлечение аудитории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офлайн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ивенты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интерактивные технологии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геймификация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развитием цифровых технологий и изменением потребительских привычек гибридные мероприятия становятся ключевым трендом в </w:t>
      </w:r>
      <w:r>
        <w:rPr>
          <w:rFonts w:ascii="Times New Roman" w:hAnsi="Times New Roman"/>
          <w:sz w:val="28"/>
          <w:szCs w:val="28"/>
          <w:rtl w:val="0"/>
          <w:lang w:val="fr-FR"/>
        </w:rPr>
        <w:t>event-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индустрии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Такой формат позволяет преодолеть географические ограничения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увеличить охват аудитории и сохранить преимущества живого взаимодействия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Актуальность исследования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обусловлена следующими факторами</w:t>
      </w:r>
      <w:r>
        <w:rPr>
          <w:rFonts w:ascii="Times New Roman" w:hAnsi="Times New Roman"/>
          <w:sz w:val="28"/>
          <w:szCs w:val="28"/>
          <w:rtl w:val="0"/>
        </w:rPr>
        <w:t xml:space="preserve">: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Рост спроса на гибкие форматы — по данным </w:t>
      </w:r>
      <w:r>
        <w:rPr>
          <w:rFonts w:ascii="Times New Roman" w:hAnsi="Times New Roman"/>
          <w:sz w:val="28"/>
          <w:szCs w:val="28"/>
          <w:rtl w:val="0"/>
        </w:rPr>
        <w:t xml:space="preserve">EventMB, 73%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организаторов планируют проводить гибридные мероприятия в </w:t>
      </w:r>
      <w:r>
        <w:rPr>
          <w:rFonts w:ascii="Times New Roman" w:hAnsi="Times New Roman"/>
          <w:sz w:val="28"/>
          <w:szCs w:val="28"/>
          <w:rtl w:val="0"/>
        </w:rPr>
        <w:t xml:space="preserve">2024 </w:t>
      </w:r>
      <w:r>
        <w:rPr>
          <w:rFonts w:ascii="Times New Roman" w:hAnsi="Times New Roman" w:hint="default"/>
          <w:sz w:val="28"/>
          <w:szCs w:val="28"/>
          <w:rtl w:val="0"/>
        </w:rPr>
        <w:t>году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Экономическая эффективность — совмещение онлайн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и офлайн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форматов сокращает затраты на логистику при увеличении аудитории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вовлеченности — интерактивные технологии позволяют удерживать внимание как очных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и удаленных участников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Гибридное мероприятие — это событие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котором часть аудитории присутствует физически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часть участвует дистанционно через цифровые платформы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Ключевые компоненты успешного гибридного ивента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Технологическая инфраструктура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стабильный стриминг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интерактивные платформы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Адаптивный контент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разные сценарии для онлайн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и офлайн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аудитории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Инструменты вовлечения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опросы</w:t>
      </w:r>
      <w:r>
        <w:rPr>
          <w:rFonts w:ascii="Times New Roman" w:hAnsi="Times New Roman"/>
          <w:sz w:val="28"/>
          <w:szCs w:val="28"/>
          <w:rtl w:val="0"/>
        </w:rPr>
        <w:t>, VR-</w:t>
      </w:r>
      <w:r>
        <w:rPr>
          <w:rFonts w:ascii="Times New Roman" w:hAnsi="Times New Roman" w:hint="default"/>
          <w:sz w:val="28"/>
          <w:szCs w:val="28"/>
          <w:rtl w:val="0"/>
        </w:rPr>
        <w:t>активности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Технологии и инструменты для гибридных мероприятий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Платформы для стриминга и взаимодействия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(Zoom, Hopin, Microsoft Teams Live).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Интерактивные элементы </w:t>
      </w:r>
      <w:r>
        <w:rPr>
          <w:rFonts w:ascii="Times New Roman" w:hAnsi="Times New Roman"/>
          <w:sz w:val="28"/>
          <w:szCs w:val="28"/>
          <w:rtl w:val="0"/>
        </w:rPr>
        <w:t>(QR-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коды для офлайн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участников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виртуальные комнаты для нетворкинга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Геймификация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челленджи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рейтинги активности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цифровые бейджи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4. VR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и </w:t>
      </w:r>
      <w:r>
        <w:rPr>
          <w:rFonts w:ascii="Times New Roman" w:hAnsi="Times New Roman"/>
          <w:sz w:val="28"/>
          <w:szCs w:val="28"/>
          <w:rtl w:val="0"/>
        </w:rPr>
        <w:t>AR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виртуальные экскурсии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дополненная реальность для презентаций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Кейсы успешных гибридных мероприятий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1. CES 2022 (Consumer Electronics Show)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</w:rPr>
        <w:t>Формат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Офлайн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выставка в Лас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Вегасе </w:t>
      </w:r>
      <w:r>
        <w:rPr>
          <w:rFonts w:ascii="Times New Roman" w:hAnsi="Times New Roman"/>
          <w:sz w:val="28"/>
          <w:szCs w:val="28"/>
          <w:rtl w:val="0"/>
        </w:rPr>
        <w:t xml:space="preserve">+ </w:t>
      </w:r>
      <w:r>
        <w:rPr>
          <w:rFonts w:ascii="Times New Roman" w:hAnsi="Times New Roman" w:hint="default"/>
          <w:sz w:val="28"/>
          <w:szCs w:val="28"/>
          <w:rtl w:val="0"/>
        </w:rPr>
        <w:t>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трансляции и виртуальные стенды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Инструменты вовлечения</w:t>
      </w:r>
      <w:r>
        <w:rPr>
          <w:rFonts w:ascii="Times New Roman" w:hAnsi="Times New Roman"/>
          <w:sz w:val="28"/>
          <w:szCs w:val="28"/>
          <w:rtl w:val="0"/>
          <w:lang w:val="da-DK"/>
        </w:rPr>
        <w:t>: 3D-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чат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боты для консультаций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</w:t>
      </w:r>
      <w:r>
        <w:rPr>
          <w:rFonts w:ascii="Times New Roman" w:hAnsi="Times New Roman"/>
          <w:sz w:val="28"/>
          <w:szCs w:val="28"/>
          <w:rtl w:val="0"/>
        </w:rPr>
        <w:t xml:space="preserve">: 40 000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очных участников и </w:t>
      </w:r>
      <w:r>
        <w:rPr>
          <w:rFonts w:ascii="Times New Roman" w:hAnsi="Times New Roman"/>
          <w:sz w:val="28"/>
          <w:szCs w:val="28"/>
          <w:rtl w:val="0"/>
        </w:rPr>
        <w:t xml:space="preserve">150 000 </w:t>
      </w:r>
      <w:r>
        <w:rPr>
          <w:rFonts w:ascii="Times New Roman" w:hAnsi="Times New Roman" w:hint="default"/>
          <w:sz w:val="28"/>
          <w:szCs w:val="28"/>
          <w:rtl w:val="0"/>
        </w:rPr>
        <w:t>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посетителей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Google I/O 2023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</w:rPr>
        <w:t>Формат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Ключевые анонсы в офлайн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режиме с параллельной трансляцией в </w:t>
      </w:r>
      <w:r>
        <w:rPr>
          <w:rFonts w:ascii="Times New Roman" w:hAnsi="Times New Roman"/>
          <w:sz w:val="28"/>
          <w:szCs w:val="28"/>
          <w:rtl w:val="0"/>
        </w:rPr>
        <w:t xml:space="preserve">YouTube +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интерактивные демо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зоны в приложении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Инструменты вовлечения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Виртуальные </w:t>
      </w:r>
      <w:r>
        <w:rPr>
          <w:rFonts w:ascii="Times New Roman" w:hAnsi="Times New Roman"/>
          <w:sz w:val="28"/>
          <w:szCs w:val="28"/>
          <w:rtl w:val="0"/>
        </w:rPr>
        <w:t>QA-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сессии с разработчиками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«ВТБ Арена»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гибридный корпоративный форум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</w:rPr>
        <w:t>Формат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Очные выступления </w:t>
      </w:r>
      <w:r>
        <w:rPr>
          <w:rFonts w:ascii="Times New Roman" w:hAnsi="Times New Roman"/>
          <w:sz w:val="28"/>
          <w:szCs w:val="28"/>
          <w:rtl w:val="0"/>
        </w:rPr>
        <w:t xml:space="preserve">+ </w:t>
      </w:r>
      <w:r>
        <w:rPr>
          <w:rFonts w:ascii="Times New Roman" w:hAnsi="Times New Roman" w:hint="default"/>
          <w:sz w:val="28"/>
          <w:szCs w:val="28"/>
          <w:rtl w:val="0"/>
        </w:rPr>
        <w:t>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трансляция с возможностью задавать вопросы через мобильное приложение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Вовлеченность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аудитории выросла на </w:t>
      </w:r>
      <w:r>
        <w:rPr>
          <w:rFonts w:ascii="Times New Roman" w:hAnsi="Times New Roman"/>
          <w:sz w:val="28"/>
          <w:szCs w:val="28"/>
          <w:rtl w:val="0"/>
        </w:rPr>
        <w:t xml:space="preserve">35%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сравнению с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версией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Гибридные мероприятия — это не просто временный тренд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новый стандарт в </w:t>
      </w:r>
      <w:r>
        <w:rPr>
          <w:rFonts w:ascii="Times New Roman" w:hAnsi="Times New Roman"/>
          <w:sz w:val="28"/>
          <w:szCs w:val="28"/>
          <w:rtl w:val="0"/>
          <w:lang w:val="fr-FR"/>
        </w:rPr>
        <w:t>event-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индустрии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успех зависит от</w:t>
      </w:r>
      <w:r>
        <w:rPr>
          <w:rFonts w:ascii="Times New Roman" w:hAnsi="Times New Roman"/>
          <w:sz w:val="28"/>
          <w:szCs w:val="28"/>
          <w:rtl w:val="0"/>
        </w:rPr>
        <w:t xml:space="preserve">: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Сбалансированного контента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учет потребностей обеих аудиторий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Интерактивных технологий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игровые механики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, VR, </w:t>
      </w:r>
      <w:r>
        <w:rPr>
          <w:rFonts w:ascii="Times New Roman" w:hAnsi="Times New Roman" w:hint="default"/>
          <w:sz w:val="28"/>
          <w:szCs w:val="28"/>
          <w:rtl w:val="0"/>
        </w:rPr>
        <w:t>соцсети</w:t>
      </w:r>
      <w:r>
        <w:rPr>
          <w:rFonts w:ascii="Times New Roman" w:hAnsi="Times New Roman"/>
          <w:sz w:val="28"/>
          <w:szCs w:val="28"/>
          <w:rtl w:val="0"/>
        </w:rPr>
        <w:t xml:space="preserve">).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Бесперебойной технической реализации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Список литературы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1. EventMB. Hybrid Events Report 2024.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Рекомендации по организации гибридных мероприятий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Журнал «</w:t>
      </w:r>
      <w:r>
        <w:rPr>
          <w:rFonts w:ascii="Times New Roman" w:hAnsi="Times New Roman"/>
          <w:sz w:val="28"/>
          <w:szCs w:val="28"/>
          <w:rtl w:val="0"/>
          <w:lang w:val="fr-FR"/>
        </w:rPr>
        <w:t>Event-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маркетинг»</w:t>
      </w:r>
      <w:r>
        <w:rPr>
          <w:rFonts w:ascii="Times New Roman" w:hAnsi="Times New Roman"/>
          <w:sz w:val="28"/>
          <w:szCs w:val="28"/>
          <w:rtl w:val="0"/>
        </w:rPr>
        <w:t xml:space="preserve">. 2023. </w:t>
      </w:r>
      <w:r>
        <w:rPr>
          <w:rFonts w:ascii="Times New Roman" w:hAnsi="Times New Roman" w:hint="default"/>
          <w:sz w:val="28"/>
          <w:szCs w:val="28"/>
          <w:rtl w:val="0"/>
        </w:rPr>
        <w:t>№</w:t>
      </w:r>
      <w:r>
        <w:rPr>
          <w:rFonts w:ascii="Times New Roman" w:hAnsi="Times New Roman"/>
          <w:sz w:val="28"/>
          <w:szCs w:val="28"/>
          <w:rtl w:val="0"/>
        </w:rPr>
        <w:t xml:space="preserve">2.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Кейс </w:t>
      </w:r>
      <w:r>
        <w:rPr>
          <w:rFonts w:ascii="Times New Roman" w:hAnsi="Times New Roman"/>
          <w:sz w:val="28"/>
          <w:szCs w:val="28"/>
          <w:rtl w:val="0"/>
          <w:lang w:val="pt-PT"/>
        </w:rPr>
        <w:t>CES 2022 [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Электронный ресурс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] // Official CES Press Room. 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4. Nielsen Study on Hybrid Event Engagement (2023).  </w:t>
      </w:r>
    </w:p>
    <w:p>
      <w:pPr>
        <w:pStyle w:val="Основной текст"/>
        <w:jc w:val="both"/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</w:rPr>
        <w:t>Геймификация в мероприятиях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практическое руководство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Под ред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Иванова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Альпина Паблишер</w:t>
      </w:r>
      <w:r>
        <w:rPr>
          <w:rFonts w:ascii="Times New Roman" w:hAnsi="Times New Roman"/>
          <w:sz w:val="28"/>
          <w:szCs w:val="28"/>
          <w:rtl w:val="0"/>
        </w:rPr>
        <w:t>, 2022.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