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714" w:rsidRDefault="0033571A" w:rsidP="00750130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571A">
        <w:rPr>
          <w:rFonts w:ascii="Times New Roman" w:eastAsia="Times New Roman" w:hAnsi="Times New Roman" w:cs="Times New Roman"/>
          <w:b/>
          <w:sz w:val="28"/>
          <w:szCs w:val="28"/>
        </w:rPr>
        <w:t>Налоговая реформа: что меняется для бухгалтера с 2025 года</w:t>
      </w:r>
    </w:p>
    <w:p w:rsidR="0033571A" w:rsidRPr="00750130" w:rsidRDefault="0033571A" w:rsidP="00750130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  <w:bookmarkStart w:id="0" w:name="_GoBack"/>
      <w:bookmarkEnd w:id="0"/>
    </w:p>
    <w:p w:rsidR="00407E34" w:rsidRPr="00750130" w:rsidRDefault="00EF37B5" w:rsidP="00750130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  <w:r w:rsidRPr="0075013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12.07.2024 </w:t>
      </w:r>
      <w:r w:rsidR="002130EF" w:rsidRPr="0075013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года </w:t>
      </w:r>
      <w:r w:rsidR="00407E34" w:rsidRPr="0075013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был </w:t>
      </w:r>
      <w:r w:rsidRPr="0075013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опубликован Федеральный закон</w:t>
      </w:r>
      <w:r w:rsidR="00407E34" w:rsidRPr="0075013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Pr="0075013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№ 176-ФЗ  </w:t>
      </w:r>
      <w:r w:rsidR="002130EF" w:rsidRPr="00750130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75013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Закон о налоговой реформе</w:t>
      </w:r>
      <w:r w:rsidR="00407E34" w:rsidRPr="0075013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. </w:t>
      </w:r>
      <w:proofErr w:type="gramStart"/>
      <w:r w:rsidR="00407E34" w:rsidRPr="0075013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Налоговая реформа 2025 года окажет заметное влияние на бизнес, особенно на средний и малый, а также на обычных физических лиц. </w:t>
      </w:r>
      <w:proofErr w:type="gramEnd"/>
    </w:p>
    <w:p w:rsidR="006D2DE8" w:rsidRPr="00750130" w:rsidRDefault="00D21039" w:rsidP="007501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13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</w:t>
      </w:r>
      <w:r w:rsidR="006D2DE8" w:rsidRPr="0075013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асшта</w:t>
      </w:r>
      <w:r w:rsidR="00EF37B5" w:rsidRPr="0075013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бные налоговые изменения, внесе</w:t>
      </w:r>
      <w:r w:rsidR="006D2DE8" w:rsidRPr="0075013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ны</w:t>
      </w:r>
      <w:r w:rsidRPr="0075013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следующими законами</w:t>
      </w:r>
      <w:r w:rsidR="006D2DE8" w:rsidRPr="0075013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:</w:t>
      </w:r>
    </w:p>
    <w:p w:rsidR="006D2DE8" w:rsidRPr="00750130" w:rsidRDefault="0033571A" w:rsidP="00750130">
      <w:pPr>
        <w:numPr>
          <w:ilvl w:val="0"/>
          <w:numId w:val="5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gtFrame="_blank" w:history="1">
        <w:r w:rsidR="006D2DE8" w:rsidRPr="00750130">
          <w:rPr>
            <w:rFonts w:ascii="Times New Roman" w:eastAsia="Times New Roman" w:hAnsi="Times New Roman" w:cs="Times New Roman"/>
            <w:iCs/>
            <w:sz w:val="24"/>
            <w:szCs w:val="24"/>
            <w:lang w:eastAsia="ru-RU"/>
          </w:rPr>
          <w:t xml:space="preserve">Федеральным законом от 12.07.2024 </w:t>
        </w:r>
        <w:r w:rsidR="00EF37B5" w:rsidRPr="00750130">
          <w:rPr>
            <w:rFonts w:ascii="Times New Roman" w:eastAsia="Times New Roman" w:hAnsi="Times New Roman" w:cs="Times New Roman"/>
            <w:iCs/>
            <w:sz w:val="24"/>
            <w:szCs w:val="24"/>
            <w:lang w:eastAsia="ru-RU"/>
          </w:rPr>
          <w:t>№</w:t>
        </w:r>
        <w:r w:rsidR="006D2DE8" w:rsidRPr="00750130">
          <w:rPr>
            <w:rFonts w:ascii="Times New Roman" w:eastAsia="Times New Roman" w:hAnsi="Times New Roman" w:cs="Times New Roman"/>
            <w:iCs/>
            <w:sz w:val="24"/>
            <w:szCs w:val="24"/>
            <w:lang w:eastAsia="ru-RU"/>
          </w:rPr>
          <w:t xml:space="preserve"> 176-ФЗ</w:t>
        </w:r>
      </w:hyperlink>
      <w:r w:rsidR="00EF37B5" w:rsidRPr="0075013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  <w:r w:rsidR="006D2DE8" w:rsidRPr="0075013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 </w:t>
      </w:r>
    </w:p>
    <w:p w:rsidR="006D2DE8" w:rsidRPr="00750130" w:rsidRDefault="0033571A" w:rsidP="00750130">
      <w:pPr>
        <w:numPr>
          <w:ilvl w:val="0"/>
          <w:numId w:val="5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tgtFrame="_blank" w:history="1">
        <w:r w:rsidR="006D2DE8" w:rsidRPr="00750130">
          <w:rPr>
            <w:rFonts w:ascii="Times New Roman" w:eastAsia="Times New Roman" w:hAnsi="Times New Roman" w:cs="Times New Roman"/>
            <w:iCs/>
            <w:sz w:val="24"/>
            <w:szCs w:val="24"/>
            <w:lang w:eastAsia="ru-RU"/>
          </w:rPr>
          <w:t xml:space="preserve">Федеральным законом от 08.08.2024 </w:t>
        </w:r>
        <w:r w:rsidR="00EF37B5" w:rsidRPr="00750130">
          <w:rPr>
            <w:rFonts w:ascii="Times New Roman" w:eastAsia="Times New Roman" w:hAnsi="Times New Roman" w:cs="Times New Roman"/>
            <w:iCs/>
            <w:sz w:val="24"/>
            <w:szCs w:val="24"/>
            <w:lang w:eastAsia="ru-RU"/>
          </w:rPr>
          <w:t>№</w:t>
        </w:r>
        <w:r w:rsidR="006D2DE8" w:rsidRPr="00750130">
          <w:rPr>
            <w:rFonts w:ascii="Times New Roman" w:eastAsia="Times New Roman" w:hAnsi="Times New Roman" w:cs="Times New Roman"/>
            <w:iCs/>
            <w:sz w:val="24"/>
            <w:szCs w:val="24"/>
            <w:lang w:eastAsia="ru-RU"/>
          </w:rPr>
          <w:t xml:space="preserve"> 259-ФЗ</w:t>
        </w:r>
      </w:hyperlink>
      <w:r w:rsidR="00EF37B5" w:rsidRPr="0075013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:rsidR="006D2DE8" w:rsidRPr="00750130" w:rsidRDefault="0033571A" w:rsidP="00750130">
      <w:pPr>
        <w:numPr>
          <w:ilvl w:val="0"/>
          <w:numId w:val="5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tgtFrame="_blank" w:history="1">
        <w:r w:rsidR="006D2DE8" w:rsidRPr="00750130">
          <w:rPr>
            <w:rFonts w:ascii="Times New Roman" w:eastAsia="Times New Roman" w:hAnsi="Times New Roman" w:cs="Times New Roman"/>
            <w:iCs/>
            <w:sz w:val="24"/>
            <w:szCs w:val="24"/>
            <w:lang w:eastAsia="ru-RU"/>
          </w:rPr>
          <w:t xml:space="preserve">Федеральным законом от 29.10.2024 </w:t>
        </w:r>
        <w:r w:rsidR="002130EF" w:rsidRPr="00750130">
          <w:rPr>
            <w:rFonts w:ascii="Times New Roman" w:eastAsia="Times New Roman" w:hAnsi="Times New Roman" w:cs="Times New Roman"/>
            <w:iCs/>
            <w:sz w:val="24"/>
            <w:szCs w:val="24"/>
            <w:lang w:eastAsia="ru-RU"/>
          </w:rPr>
          <w:t xml:space="preserve">№ </w:t>
        </w:r>
        <w:r w:rsidR="006D2DE8" w:rsidRPr="00750130">
          <w:rPr>
            <w:rFonts w:ascii="Times New Roman" w:eastAsia="Times New Roman" w:hAnsi="Times New Roman" w:cs="Times New Roman"/>
            <w:iCs/>
            <w:sz w:val="24"/>
            <w:szCs w:val="24"/>
            <w:lang w:eastAsia="ru-RU"/>
          </w:rPr>
          <w:t>362-ФЗ</w:t>
        </w:r>
      </w:hyperlink>
      <w:r w:rsidR="00EF37B5" w:rsidRPr="0075013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:rsidR="006D2DE8" w:rsidRPr="00750130" w:rsidRDefault="0033571A" w:rsidP="00750130">
      <w:pPr>
        <w:numPr>
          <w:ilvl w:val="0"/>
          <w:numId w:val="5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tgtFrame="_blank" w:history="1">
        <w:r w:rsidR="006D2DE8" w:rsidRPr="00750130">
          <w:rPr>
            <w:rFonts w:ascii="Times New Roman" w:eastAsia="Times New Roman" w:hAnsi="Times New Roman" w:cs="Times New Roman"/>
            <w:iCs/>
            <w:sz w:val="24"/>
            <w:szCs w:val="24"/>
            <w:lang w:eastAsia="ru-RU"/>
          </w:rPr>
          <w:t xml:space="preserve">Федеральным законом от 29.11.2024 </w:t>
        </w:r>
        <w:r w:rsidR="002130EF" w:rsidRPr="00750130">
          <w:rPr>
            <w:rFonts w:ascii="Times New Roman" w:eastAsia="Times New Roman" w:hAnsi="Times New Roman" w:cs="Times New Roman"/>
            <w:iCs/>
            <w:sz w:val="24"/>
            <w:szCs w:val="24"/>
            <w:lang w:eastAsia="ru-RU"/>
          </w:rPr>
          <w:t>№</w:t>
        </w:r>
        <w:r w:rsidR="006D2DE8" w:rsidRPr="00750130">
          <w:rPr>
            <w:rFonts w:ascii="Times New Roman" w:eastAsia="Times New Roman" w:hAnsi="Times New Roman" w:cs="Times New Roman"/>
            <w:iCs/>
            <w:sz w:val="24"/>
            <w:szCs w:val="24"/>
            <w:lang w:eastAsia="ru-RU"/>
          </w:rPr>
          <w:t xml:space="preserve"> 416-ФЗ</w:t>
        </w:r>
      </w:hyperlink>
      <w:r w:rsidR="00EF37B5" w:rsidRPr="0075013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:rsidR="006D2DE8" w:rsidRPr="00750130" w:rsidRDefault="00EF37B5" w:rsidP="007501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13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Рассмотрим</w:t>
      </w:r>
      <w:r w:rsidR="006D2DE8" w:rsidRPr="0075013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многочисленные нюансы налоговой реформы в НК РФ</w:t>
      </w:r>
      <w:r w:rsidRPr="0075013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более подробно.</w:t>
      </w:r>
    </w:p>
    <w:p w:rsidR="00C20714" w:rsidRDefault="00C20714" w:rsidP="00750130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D2DE8" w:rsidRPr="00750130" w:rsidRDefault="006D2DE8" w:rsidP="00750130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501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</w:t>
      </w:r>
      <w:r w:rsidR="002130EF" w:rsidRPr="007501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алог на добавленную стоимость</w:t>
      </w:r>
    </w:p>
    <w:p w:rsidR="006D2DE8" w:rsidRPr="00750130" w:rsidRDefault="006D2DE8" w:rsidP="007501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1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 1 апреля 2025 года можно применять два формата счета-фактуры и УПД: основной </w:t>
      </w:r>
      <w:r w:rsidR="002130EF" w:rsidRPr="00750130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7501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 реквизитом «Стоимость товара, подлежащего </w:t>
      </w:r>
      <w:proofErr w:type="spellStart"/>
      <w:r w:rsidRPr="0075013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прослеживаемости</w:t>
      </w:r>
      <w:proofErr w:type="spellEnd"/>
      <w:r w:rsidRPr="00750130">
        <w:rPr>
          <w:rFonts w:ascii="Times New Roman" w:eastAsia="Times New Roman" w:hAnsi="Times New Roman" w:cs="Times New Roman"/>
          <w:sz w:val="24"/>
          <w:szCs w:val="24"/>
          <w:lang w:eastAsia="ru-RU"/>
        </w:rPr>
        <w:t>» </w:t>
      </w:r>
      <w:r w:rsidR="002130EF" w:rsidRPr="00750130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7501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 временный </w:t>
      </w:r>
      <w:r w:rsidR="002130EF" w:rsidRPr="0075013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7501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 такого реквизита. После 1 апреля </w:t>
      </w:r>
      <w:r w:rsidR="002130EF" w:rsidRPr="00750130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7501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только один формат. Об этом говорит Приказ ФНС России </w:t>
      </w:r>
      <w:hyperlink r:id="rId10" w:tgtFrame="_blank" w:history="1">
        <w:r w:rsidRPr="0075013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от 19.12.2023 № ЕД-7-26/970@</w:t>
        </w:r>
      </w:hyperlink>
      <w:r w:rsidRPr="0075013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D2DE8" w:rsidRPr="00750130" w:rsidRDefault="006D2DE8" w:rsidP="007501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1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Напомним, что организации и ИП </w:t>
      </w:r>
      <w:r w:rsidR="002130EF" w:rsidRPr="00750130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7501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продавцы товаров, подлежащих </w:t>
      </w:r>
      <w:proofErr w:type="spellStart"/>
      <w:r w:rsidRPr="0075013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прослеживаемости</w:t>
      </w:r>
      <w:proofErr w:type="spellEnd"/>
      <w:r w:rsidRPr="00750130">
        <w:rPr>
          <w:rFonts w:ascii="Times New Roman" w:eastAsia="Times New Roman" w:hAnsi="Times New Roman" w:cs="Times New Roman"/>
          <w:sz w:val="24"/>
          <w:szCs w:val="24"/>
          <w:lang w:eastAsia="ru-RU"/>
        </w:rPr>
        <w:t>, в большинстве случаев должны выставлять счета-фактуры в электронной форме. Это правило распространяется также на передачу прослеживаемых товаров в составе выполненных работ (п. 1.1 ст. </w:t>
      </w:r>
      <w:hyperlink r:id="rId11" w:anchor="h4442" w:tgtFrame="_blank" w:history="1">
        <w:r w:rsidRPr="0075013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169</w:t>
        </w:r>
      </w:hyperlink>
      <w:r w:rsidRPr="00750130">
        <w:rPr>
          <w:rFonts w:ascii="Times New Roman" w:eastAsia="Times New Roman" w:hAnsi="Times New Roman" w:cs="Times New Roman"/>
          <w:sz w:val="24"/>
          <w:szCs w:val="24"/>
          <w:lang w:eastAsia="ru-RU"/>
        </w:rPr>
        <w:t> НК РФ). Выставлять счета-фактуры продавец должен и в тех ситуациях, когда покупатель не является плательщиком НДС или освобожден от обязанностей налогоплательщика (</w:t>
      </w:r>
      <w:proofErr w:type="spellStart"/>
      <w:r w:rsidRPr="00750130">
        <w:rPr>
          <w:rFonts w:ascii="Times New Roman" w:eastAsia="Times New Roman" w:hAnsi="Times New Roman" w:cs="Times New Roman"/>
          <w:sz w:val="24"/>
          <w:szCs w:val="24"/>
          <w:lang w:eastAsia="ru-RU"/>
        </w:rPr>
        <w:t>пп</w:t>
      </w:r>
      <w:proofErr w:type="spellEnd"/>
      <w:r w:rsidRPr="00750130">
        <w:rPr>
          <w:rFonts w:ascii="Times New Roman" w:eastAsia="Times New Roman" w:hAnsi="Times New Roman" w:cs="Times New Roman"/>
          <w:sz w:val="24"/>
          <w:szCs w:val="24"/>
          <w:lang w:eastAsia="ru-RU"/>
        </w:rPr>
        <w:t>. 1 п. 3 ст. </w:t>
      </w:r>
      <w:hyperlink r:id="rId12" w:anchor="h4442" w:tgtFrame="_blank" w:history="1">
        <w:r w:rsidRPr="0075013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169</w:t>
        </w:r>
      </w:hyperlink>
      <w:r w:rsidRPr="00750130">
        <w:rPr>
          <w:rFonts w:ascii="Times New Roman" w:eastAsia="Times New Roman" w:hAnsi="Times New Roman" w:cs="Times New Roman"/>
          <w:sz w:val="24"/>
          <w:szCs w:val="24"/>
          <w:lang w:eastAsia="ru-RU"/>
        </w:rPr>
        <w:t>  НК РФ).</w:t>
      </w:r>
    </w:p>
    <w:p w:rsidR="006D2DE8" w:rsidRPr="00750130" w:rsidRDefault="006D2DE8" w:rsidP="007501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1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Чем отличается счет-фактура по прослеживаемым товарам? В нем помимо общих сведений необходимо указывать реквизиты </w:t>
      </w:r>
      <w:proofErr w:type="spellStart"/>
      <w:r w:rsidRPr="0075013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прослеживаемости</w:t>
      </w:r>
      <w:proofErr w:type="spellEnd"/>
      <w:r w:rsidRPr="007501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</w:t>
      </w:r>
      <w:proofErr w:type="spellStart"/>
      <w:r w:rsidRPr="00750130">
        <w:rPr>
          <w:rFonts w:ascii="Times New Roman" w:eastAsia="Times New Roman" w:hAnsi="Times New Roman" w:cs="Times New Roman"/>
          <w:sz w:val="24"/>
          <w:szCs w:val="24"/>
          <w:lang w:eastAsia="ru-RU"/>
        </w:rPr>
        <w:t>пп</w:t>
      </w:r>
      <w:proofErr w:type="spellEnd"/>
      <w:r w:rsidRPr="00750130">
        <w:rPr>
          <w:rFonts w:ascii="Times New Roman" w:eastAsia="Times New Roman" w:hAnsi="Times New Roman" w:cs="Times New Roman"/>
          <w:sz w:val="24"/>
          <w:szCs w:val="24"/>
          <w:lang w:eastAsia="ru-RU"/>
        </w:rPr>
        <w:t>. 16–19 п. 5 ст. </w:t>
      </w:r>
      <w:hyperlink r:id="rId13" w:anchor="h4442" w:tgtFrame="_blank" w:history="1">
        <w:r w:rsidRPr="0075013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169</w:t>
        </w:r>
      </w:hyperlink>
      <w:r w:rsidRPr="00750130">
        <w:rPr>
          <w:rFonts w:ascii="Times New Roman" w:eastAsia="Times New Roman" w:hAnsi="Times New Roman" w:cs="Times New Roman"/>
          <w:sz w:val="24"/>
          <w:szCs w:val="24"/>
          <w:lang w:eastAsia="ru-RU"/>
        </w:rPr>
        <w:t> НК РФ, а именно:</w:t>
      </w:r>
    </w:p>
    <w:p w:rsidR="006D2DE8" w:rsidRPr="00750130" w:rsidRDefault="006D2DE8" w:rsidP="00750130">
      <w:pPr>
        <w:numPr>
          <w:ilvl w:val="0"/>
          <w:numId w:val="6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1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регистрационный номер партии товара, подлежащего </w:t>
      </w:r>
      <w:proofErr w:type="spellStart"/>
      <w:r w:rsidRPr="0075013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прослеживаемости</w:t>
      </w:r>
      <w:proofErr w:type="spellEnd"/>
      <w:r w:rsidRPr="0075013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D2DE8" w:rsidRPr="00750130" w:rsidRDefault="006D2DE8" w:rsidP="00750130">
      <w:pPr>
        <w:numPr>
          <w:ilvl w:val="0"/>
          <w:numId w:val="6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13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количественную единицу измерения товара, используемую для </w:t>
      </w:r>
      <w:proofErr w:type="spellStart"/>
      <w:r w:rsidRPr="0075013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прослеживаемости</w:t>
      </w:r>
      <w:proofErr w:type="spellEnd"/>
      <w:r w:rsidRPr="0075013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D2DE8" w:rsidRPr="00750130" w:rsidRDefault="006D2DE8" w:rsidP="00750130">
      <w:pPr>
        <w:numPr>
          <w:ilvl w:val="0"/>
          <w:numId w:val="6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13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товара;</w:t>
      </w:r>
    </w:p>
    <w:p w:rsidR="006D2DE8" w:rsidRPr="00750130" w:rsidRDefault="006D2DE8" w:rsidP="00750130">
      <w:pPr>
        <w:numPr>
          <w:ilvl w:val="0"/>
          <w:numId w:val="6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13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стоимость товара.</w:t>
      </w:r>
    </w:p>
    <w:p w:rsidR="006D2DE8" w:rsidRPr="00750130" w:rsidRDefault="006D2DE8" w:rsidP="007501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1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организация или ИП на упрощенной системе налогообложения планируют операции с прослеживаемыми товарами, им придется вместо счетов-фактур оформлять УПД с отражением реквизитов </w:t>
      </w:r>
      <w:proofErr w:type="spellStart"/>
      <w:r w:rsidRPr="0075013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прослеживаемости</w:t>
      </w:r>
      <w:proofErr w:type="spellEnd"/>
      <w:r w:rsidRPr="007501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товаров при реализации или передаче таких товаров (</w:t>
      </w:r>
      <w:proofErr w:type="spellStart"/>
      <w:r w:rsidRPr="00750130">
        <w:rPr>
          <w:rFonts w:ascii="Times New Roman" w:eastAsia="Times New Roman" w:hAnsi="Times New Roman" w:cs="Times New Roman"/>
          <w:sz w:val="24"/>
          <w:szCs w:val="24"/>
          <w:lang w:eastAsia="ru-RU"/>
        </w:rPr>
        <w:t>пп</w:t>
      </w:r>
      <w:proofErr w:type="spellEnd"/>
      <w:r w:rsidRPr="00750130">
        <w:rPr>
          <w:rFonts w:ascii="Times New Roman" w:eastAsia="Times New Roman" w:hAnsi="Times New Roman" w:cs="Times New Roman"/>
          <w:sz w:val="24"/>
          <w:szCs w:val="24"/>
          <w:lang w:eastAsia="ru-RU"/>
        </w:rPr>
        <w:t>. «г» п. 13 Постановления Правительства РФ </w:t>
      </w:r>
      <w:hyperlink r:id="rId14" w:tgtFrame="_blank" w:history="1">
        <w:r w:rsidRPr="0075013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от 01.07.2021 № 1108</w:t>
        </w:r>
      </w:hyperlink>
      <w:r w:rsidRPr="00750130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C20714" w:rsidRDefault="00C20714" w:rsidP="00750130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D2DE8" w:rsidRPr="00750130" w:rsidRDefault="006D2DE8" w:rsidP="00750130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501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</w:t>
      </w:r>
      <w:r w:rsidR="00F5416C" w:rsidRPr="007501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алог на доходы физических лиц</w:t>
      </w:r>
    </w:p>
    <w:p w:rsidR="006D2DE8" w:rsidRPr="00750130" w:rsidRDefault="006D2DE8" w:rsidP="007501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130">
        <w:rPr>
          <w:rFonts w:ascii="Times New Roman" w:eastAsia="Times New Roman" w:hAnsi="Times New Roman" w:cs="Times New Roman"/>
          <w:sz w:val="24"/>
          <w:szCs w:val="24"/>
          <w:lang w:eastAsia="ru-RU"/>
        </w:rPr>
        <w:t>С 1 января 2025 года изменится прогрессивная шкала НДФЛ: повышенные ставки будут применять с дохода свыше 2,4 </w:t>
      </w:r>
      <w:proofErr w:type="gramStart"/>
      <w:r w:rsidRPr="00750130">
        <w:rPr>
          <w:rFonts w:ascii="Times New Roman" w:eastAsia="Times New Roman" w:hAnsi="Times New Roman" w:cs="Times New Roman"/>
          <w:sz w:val="24"/>
          <w:szCs w:val="24"/>
          <w:lang w:eastAsia="ru-RU"/>
        </w:rPr>
        <w:t>млн</w:t>
      </w:r>
      <w:proofErr w:type="gramEnd"/>
      <w:r w:rsidRPr="007501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 Для зарплаты предусмотрено пять ставок:</w:t>
      </w:r>
    </w:p>
    <w:p w:rsidR="006D2DE8" w:rsidRPr="00750130" w:rsidRDefault="006D2DE8" w:rsidP="00750130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130">
        <w:rPr>
          <w:rFonts w:ascii="Times New Roman" w:eastAsia="Times New Roman" w:hAnsi="Times New Roman" w:cs="Times New Roman"/>
          <w:sz w:val="24"/>
          <w:szCs w:val="24"/>
          <w:lang w:eastAsia="ru-RU"/>
        </w:rPr>
        <w:t>13%;</w:t>
      </w:r>
    </w:p>
    <w:p w:rsidR="006D2DE8" w:rsidRPr="00750130" w:rsidRDefault="006D2DE8" w:rsidP="00750130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1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15% </w:t>
      </w:r>
      <w:r w:rsidR="00F5416C" w:rsidRPr="00750130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7501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 дохода свыше 2,4 млн</w:t>
      </w:r>
      <w:r w:rsidR="00F5416C" w:rsidRPr="0075013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501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руб.;</w:t>
      </w:r>
    </w:p>
    <w:p w:rsidR="006D2DE8" w:rsidRPr="00750130" w:rsidRDefault="006D2DE8" w:rsidP="00750130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1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18% </w:t>
      </w:r>
      <w:r w:rsidR="00F5416C" w:rsidRPr="00750130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7501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 дохода свыше 5 млн</w:t>
      </w:r>
      <w:r w:rsidR="00F5416C" w:rsidRPr="0075013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501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руб.;</w:t>
      </w:r>
    </w:p>
    <w:p w:rsidR="006D2DE8" w:rsidRPr="00750130" w:rsidRDefault="006D2DE8" w:rsidP="00750130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1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20% </w:t>
      </w:r>
      <w:r w:rsidR="00F5416C" w:rsidRPr="00750130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7501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 дохода свыше 20 млн</w:t>
      </w:r>
      <w:r w:rsidR="00F5416C" w:rsidRPr="0075013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501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руб.;</w:t>
      </w:r>
    </w:p>
    <w:p w:rsidR="006D2DE8" w:rsidRPr="00750130" w:rsidRDefault="006D2DE8" w:rsidP="00750130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1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22% </w:t>
      </w:r>
      <w:r w:rsidR="00F5416C" w:rsidRPr="00750130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7501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 дохода свыше 50 млн</w:t>
      </w:r>
      <w:r w:rsidR="00F5416C" w:rsidRPr="0075013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501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</w:t>
      </w:r>
    </w:p>
    <w:p w:rsidR="006D2DE8" w:rsidRPr="00750130" w:rsidRDefault="006D2DE8" w:rsidP="007501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1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 доходов от продажи имущества и операций с ценными бумагами, дивидендов, страховых выплат, процентов по вкладам две ставки </w:t>
      </w:r>
      <w:r w:rsidR="00597785" w:rsidRPr="00750130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7501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13 и 15% (п. 39 ст. 2 Федерального закона </w:t>
      </w:r>
      <w:hyperlink r:id="rId15" w:tgtFrame="_blank" w:history="1">
        <w:r w:rsidRPr="0075013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от 12.07.2024 № 176-ФЗ</w:t>
        </w:r>
      </w:hyperlink>
      <w:r w:rsidRPr="00750130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6D2DE8" w:rsidRPr="00750130" w:rsidRDefault="006D2DE8" w:rsidP="007501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1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Увеличены вычеты на детей: на второго ребенка </w:t>
      </w:r>
      <w:r w:rsidR="00597785" w:rsidRPr="00750130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7501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2 800 руб., на третьего и последующего </w:t>
      </w:r>
      <w:r w:rsidR="00597785" w:rsidRPr="00750130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7501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6 000 руб., а также предельный размер дохода для вычетов на детей </w:t>
      </w:r>
      <w:r w:rsidR="00597785" w:rsidRPr="00750130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7501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450 000 руб. (п. 28 ст. 2 Закона № 176).</w:t>
      </w:r>
    </w:p>
    <w:p w:rsidR="006D2DE8" w:rsidRPr="00750130" w:rsidRDefault="006D2DE8" w:rsidP="007501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13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Появится вычет 18 000 руб. за год для </w:t>
      </w:r>
      <w:r w:rsidR="00F1115B" w:rsidRPr="007501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50130">
        <w:rPr>
          <w:rFonts w:ascii="Times New Roman" w:eastAsia="Times New Roman" w:hAnsi="Times New Roman" w:cs="Times New Roman"/>
          <w:sz w:val="24"/>
          <w:szCs w:val="24"/>
          <w:lang w:eastAsia="ru-RU"/>
        </w:rPr>
        <w:t>сдавших</w:t>
      </w:r>
      <w:proofErr w:type="gramEnd"/>
      <w:r w:rsidRPr="007501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нормы ГТО и прошедших диспансеризацию. Согласно изменениям в НК РФ, этот вычет распространяется на лиц, выполнивших нормативы всероссийского физкультурно-спортивного комплекса «Готов к труду и обороне», соответствующие их возрастной группе, награжденных знаком отличия, при условии прохождения налогоплательщиком диспансеризации в соответствующем календарном году.</w:t>
      </w:r>
    </w:p>
    <w:p w:rsidR="00C20714" w:rsidRDefault="00C20714" w:rsidP="00750130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D2DE8" w:rsidRPr="00750130" w:rsidRDefault="006D2DE8" w:rsidP="00750130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501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Взносы</w:t>
      </w:r>
      <w:r w:rsidR="00F1115B" w:rsidRPr="007501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во внебюджетные фонды</w:t>
      </w:r>
    </w:p>
    <w:p w:rsidR="006D2DE8" w:rsidRPr="00750130" w:rsidRDefault="006D2DE8" w:rsidP="007501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1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 1 января 2025 года будет еще один пониженный тариф </w:t>
      </w:r>
      <w:r w:rsidR="00F1115B" w:rsidRPr="00750130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7501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7,6% с выплат </w:t>
      </w:r>
      <w:proofErr w:type="gramStart"/>
      <w:r w:rsidRPr="0075013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сверх</w:t>
      </w:r>
      <w:proofErr w:type="gramEnd"/>
      <w:r w:rsidRPr="007501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МРОТ в месяц для МСП. Но не для всех МСП, а только для тех, у которых основной вид деятельности включен в ОКВЭД в раздел «Обрабатывающие производства» (п. 84 ст. 2 Закона </w:t>
      </w:r>
      <w:hyperlink r:id="rId16" w:tgtFrame="_blank" w:history="1">
        <w:r w:rsidRPr="0075013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№ 176-ФЗ</w:t>
        </w:r>
      </w:hyperlink>
      <w:r w:rsidRPr="00750130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6D2DE8" w:rsidRPr="00750130" w:rsidRDefault="006D2DE8" w:rsidP="007501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1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Сейчас пониженный тариф равен 15% с выплат </w:t>
      </w:r>
      <w:proofErr w:type="gramStart"/>
      <w:r w:rsidRPr="0075013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сверх</w:t>
      </w:r>
      <w:proofErr w:type="gramEnd"/>
      <w:r w:rsidRPr="007501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МРОТ для всех МСП.</w:t>
      </w:r>
    </w:p>
    <w:p w:rsidR="006D2DE8" w:rsidRPr="00750130" w:rsidRDefault="006D2DE8" w:rsidP="007501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130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 МСП применяет вышеупомянутые пониженные тарифы страховых взносов с 1-го числа месяца, в котором сведения о ней внесены в единый реестр субъектов МСП, и до 1-го числа месяца, в котором она исключена из единого реестра субъектов МСП (Письмо Минфина России </w:t>
      </w:r>
      <w:hyperlink r:id="rId17" w:tgtFrame="_blank" w:history="1">
        <w:r w:rsidRPr="0075013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от 20.01.2022 № 03-15-05/2932</w:t>
        </w:r>
      </w:hyperlink>
      <w:r w:rsidRPr="00750130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6D2DE8" w:rsidRPr="00750130" w:rsidRDefault="006D2DE8" w:rsidP="007501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1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субъект МСП должен применять, но не применяет пониженный тариф взносов, то возникает еще одна проблема </w:t>
      </w:r>
      <w:r w:rsidR="00F1115B" w:rsidRPr="00750130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7501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завышаются расходы, принимаемые в целях налога на прибыль. Как известно, страховые взносы учитываются в прочих расходах, связанных с производством и реализацией (</w:t>
      </w:r>
      <w:proofErr w:type="spellStart"/>
      <w:r w:rsidRPr="00750130">
        <w:rPr>
          <w:rFonts w:ascii="Times New Roman" w:eastAsia="Times New Roman" w:hAnsi="Times New Roman" w:cs="Times New Roman"/>
          <w:sz w:val="24"/>
          <w:szCs w:val="24"/>
          <w:lang w:eastAsia="ru-RU"/>
        </w:rPr>
        <w:t>пп</w:t>
      </w:r>
      <w:proofErr w:type="spellEnd"/>
      <w:r w:rsidRPr="00750130">
        <w:rPr>
          <w:rFonts w:ascii="Times New Roman" w:eastAsia="Times New Roman" w:hAnsi="Times New Roman" w:cs="Times New Roman"/>
          <w:sz w:val="24"/>
          <w:szCs w:val="24"/>
          <w:lang w:eastAsia="ru-RU"/>
        </w:rPr>
        <w:t>. 1 п. 1 ст. </w:t>
      </w:r>
      <w:hyperlink r:id="rId18" w:anchor="h9146" w:tgtFrame="_blank" w:history="1">
        <w:r w:rsidRPr="00750130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264</w:t>
        </w:r>
      </w:hyperlink>
      <w:r w:rsidRPr="00750130">
        <w:rPr>
          <w:rFonts w:ascii="Times New Roman" w:eastAsia="Times New Roman" w:hAnsi="Times New Roman" w:cs="Times New Roman"/>
          <w:sz w:val="24"/>
          <w:szCs w:val="24"/>
          <w:lang w:eastAsia="ru-RU"/>
        </w:rPr>
        <w:t> НК РФ). В итоге занижаются прибыль и налог на прибыль со всеми вытекающими последствиями в виде штрафов и пеней.</w:t>
      </w:r>
    </w:p>
    <w:p w:rsidR="00C20714" w:rsidRDefault="00C20714" w:rsidP="00750130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D2DE8" w:rsidRPr="00750130" w:rsidRDefault="006D2DE8" w:rsidP="00750130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501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Налог на прибыль</w:t>
      </w:r>
    </w:p>
    <w:p w:rsidR="006D2DE8" w:rsidRPr="00750130" w:rsidRDefault="006D2DE8" w:rsidP="007501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1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Повышена ставка налога до 25%, а для IT-компаний </w:t>
      </w:r>
      <w:r w:rsidR="00F1115B" w:rsidRPr="00750130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7501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 5% (п. 50 ст. 2 Закона № 176-ФЗ). Изменения начнут действовать с 1 января 2025 года.</w:t>
      </w:r>
    </w:p>
    <w:p w:rsidR="006D2DE8" w:rsidRPr="00750130" w:rsidRDefault="006D2DE8" w:rsidP="007501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130">
        <w:rPr>
          <w:rFonts w:ascii="Times New Roman" w:eastAsia="Times New Roman" w:hAnsi="Times New Roman" w:cs="Times New Roman"/>
          <w:sz w:val="24"/>
          <w:szCs w:val="24"/>
          <w:lang w:eastAsia="ru-RU"/>
        </w:rPr>
        <w:t>В контексте повышения основной ставки по налогу на прибыль становится ясно, что организации на ОСНО постараются закрыть договоры со своими покупателями и заказчиками в 2024 году, чтобы показать реализацию в текущем году. Это позволит получить экономию по налогу на прибыль на целых 5 процентных пунктов. Конечно, речь идет о тех, кто определяет доходы и расходы по методу начисления. Но возможно, законодатели придумают переходные моменты в пользу налогоплательщика.</w:t>
      </w:r>
    </w:p>
    <w:p w:rsidR="006D2DE8" w:rsidRPr="00750130" w:rsidRDefault="006D2DE8" w:rsidP="007501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1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 забывайте, что расходы в налоговом учете делятся </w:t>
      </w:r>
      <w:proofErr w:type="gramStart"/>
      <w:r w:rsidRPr="00750130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750130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прямые и косвенные. Прямые расходы накапливаются в составе незавершенного производства (НЗП) и признаются в тот момент, когда будет отражена реализация. А косвенные можно признать сразу, когда они были понесены (ст. </w:t>
      </w:r>
      <w:hyperlink r:id="rId19" w:anchor="h5735" w:tgtFrame="_blank" w:history="1">
        <w:r w:rsidRPr="0075013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318</w:t>
        </w:r>
      </w:hyperlink>
      <w:r w:rsidRPr="00750130">
        <w:rPr>
          <w:rFonts w:ascii="Times New Roman" w:eastAsia="Times New Roman" w:hAnsi="Times New Roman" w:cs="Times New Roman"/>
          <w:sz w:val="24"/>
          <w:szCs w:val="24"/>
          <w:lang w:eastAsia="ru-RU"/>
        </w:rPr>
        <w:t> НК РФ).</w:t>
      </w:r>
    </w:p>
    <w:p w:rsidR="006D2DE8" w:rsidRPr="00750130" w:rsidRDefault="006D2DE8" w:rsidP="00750130">
      <w:pPr>
        <w:pStyle w:val="a3"/>
        <w:spacing w:before="0" w:beforeAutospacing="0" w:after="0" w:afterAutospacing="0"/>
        <w:ind w:firstLine="709"/>
        <w:jc w:val="both"/>
      </w:pPr>
      <w:r w:rsidRPr="00750130">
        <w:t>Коэффициент учета в расходах затрат на НИОКР увеличен с 1,5 до 2 (п. 46 ст. 2 Закона </w:t>
      </w:r>
      <w:hyperlink r:id="rId20" w:tgtFrame="_blank" w:history="1">
        <w:r w:rsidRPr="00750130">
          <w:rPr>
            <w:rStyle w:val="a4"/>
            <w:color w:val="auto"/>
            <w:u w:val="none"/>
          </w:rPr>
          <w:t>№ 176-ФЗ</w:t>
        </w:r>
      </w:hyperlink>
      <w:r w:rsidRPr="00750130">
        <w:t>).</w:t>
      </w:r>
    </w:p>
    <w:p w:rsidR="006D2DE8" w:rsidRPr="00750130" w:rsidRDefault="006D2DE8" w:rsidP="00750130">
      <w:pPr>
        <w:pStyle w:val="a3"/>
        <w:spacing w:before="0" w:beforeAutospacing="0" w:after="0" w:afterAutospacing="0"/>
        <w:ind w:firstLine="709"/>
        <w:jc w:val="both"/>
      </w:pPr>
      <w:proofErr w:type="gramStart"/>
      <w:r w:rsidRPr="00750130">
        <w:t>Напомним, что в 2024 г. согласно п. 7 ст. </w:t>
      </w:r>
      <w:hyperlink r:id="rId21" w:anchor="h9130" w:tgtFrame="_blank" w:history="1">
        <w:r w:rsidRPr="00750130">
          <w:rPr>
            <w:rStyle w:val="a4"/>
            <w:color w:val="auto"/>
            <w:u w:val="none"/>
          </w:rPr>
          <w:t>262</w:t>
        </w:r>
      </w:hyperlink>
      <w:r w:rsidRPr="00750130">
        <w:t> НК РФ налогоплательщик, осуществляющий расходы на НИОКР по Перечню, утв. Постановлением Правительства РФ </w:t>
      </w:r>
      <w:hyperlink r:id="rId22" w:tgtFrame="_blank" w:history="1">
        <w:r w:rsidRPr="00750130">
          <w:rPr>
            <w:rStyle w:val="a4"/>
            <w:color w:val="auto"/>
            <w:u w:val="none"/>
          </w:rPr>
          <w:t>от 24.12.2008 № 988</w:t>
        </w:r>
      </w:hyperlink>
      <w:r w:rsidRPr="00750130">
        <w:t>, вправе включать указанные расходы в состав прочих расходов того отчетного (налогового) периода, в котором завершены такие исследования, разработки, отдельные этапы работ, или в первоначальную стоимость амортизируемых нематериальных активов в размере фактических затрат с применением</w:t>
      </w:r>
      <w:proofErr w:type="gramEnd"/>
      <w:r w:rsidRPr="00750130">
        <w:t xml:space="preserve"> коэффициента 1,5. Какие расходы относятся к расходам на НИОКР, ясно сказано в п. 2 ст. </w:t>
      </w:r>
      <w:hyperlink r:id="rId23" w:anchor="h9130" w:tgtFrame="_blank" w:history="1">
        <w:r w:rsidRPr="00750130">
          <w:rPr>
            <w:rStyle w:val="a4"/>
            <w:color w:val="auto"/>
            <w:u w:val="none"/>
          </w:rPr>
          <w:t>262</w:t>
        </w:r>
      </w:hyperlink>
      <w:r w:rsidRPr="00750130">
        <w:t> НК РФ.</w:t>
      </w:r>
    </w:p>
    <w:p w:rsidR="00C20714" w:rsidRDefault="00C20714" w:rsidP="00750130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D2DE8" w:rsidRPr="00750130" w:rsidRDefault="006D2DE8" w:rsidP="00750130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501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Изменения в </w:t>
      </w:r>
      <w:r w:rsidR="00F1115B" w:rsidRPr="007501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упрощенной системе налогообложения</w:t>
      </w:r>
    </w:p>
    <w:p w:rsidR="006D2DE8" w:rsidRPr="00750130" w:rsidRDefault="006D2DE8" w:rsidP="007501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13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Пороговые значения для перехода и применения УСН станут выше с 1 января 2025 года. Перейти на УСН будет можно, если:</w:t>
      </w:r>
    </w:p>
    <w:p w:rsidR="006D2DE8" w:rsidRPr="00750130" w:rsidRDefault="006D2DE8" w:rsidP="00750130">
      <w:pPr>
        <w:numPr>
          <w:ilvl w:val="0"/>
          <w:numId w:val="8"/>
        </w:numPr>
        <w:tabs>
          <w:tab w:val="clear" w:pos="720"/>
          <w:tab w:val="num" w:pos="0"/>
        </w:tabs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130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доходы за 9 месяцев прошлого года не превысят 337,5 </w:t>
      </w:r>
      <w:proofErr w:type="gramStart"/>
      <w:r w:rsidRPr="00750130">
        <w:rPr>
          <w:rFonts w:ascii="Times New Roman" w:eastAsia="Times New Roman" w:hAnsi="Times New Roman" w:cs="Times New Roman"/>
          <w:sz w:val="24"/>
          <w:szCs w:val="24"/>
          <w:lang w:eastAsia="ru-RU"/>
        </w:rPr>
        <w:t>млн</w:t>
      </w:r>
      <w:proofErr w:type="gramEnd"/>
      <w:r w:rsidRPr="007501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руб.;</w:t>
      </w:r>
    </w:p>
    <w:p w:rsidR="006D2DE8" w:rsidRPr="00750130" w:rsidRDefault="006D2DE8" w:rsidP="00750130">
      <w:pPr>
        <w:numPr>
          <w:ilvl w:val="0"/>
          <w:numId w:val="8"/>
        </w:numPr>
        <w:tabs>
          <w:tab w:val="clear" w:pos="720"/>
          <w:tab w:val="num" w:pos="0"/>
        </w:tabs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1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средняя численность работников </w:t>
      </w:r>
      <w:r w:rsidR="00F1115B" w:rsidRPr="00750130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7501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130 человек;</w:t>
      </w:r>
    </w:p>
    <w:p w:rsidR="006D2DE8" w:rsidRPr="00750130" w:rsidRDefault="006D2DE8" w:rsidP="00750130">
      <w:pPr>
        <w:numPr>
          <w:ilvl w:val="0"/>
          <w:numId w:val="8"/>
        </w:numPr>
        <w:tabs>
          <w:tab w:val="clear" w:pos="720"/>
          <w:tab w:val="num" w:pos="0"/>
        </w:tabs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13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остаточная стоимость ОС </w:t>
      </w:r>
      <w:r w:rsidR="00F1115B" w:rsidRPr="00750130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7501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200 </w:t>
      </w:r>
      <w:proofErr w:type="gramStart"/>
      <w:r w:rsidRPr="00750130">
        <w:rPr>
          <w:rFonts w:ascii="Times New Roman" w:eastAsia="Times New Roman" w:hAnsi="Times New Roman" w:cs="Times New Roman"/>
          <w:sz w:val="24"/>
          <w:szCs w:val="24"/>
          <w:lang w:eastAsia="ru-RU"/>
        </w:rPr>
        <w:t>млн</w:t>
      </w:r>
      <w:proofErr w:type="gramEnd"/>
      <w:r w:rsidRPr="007501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</w:t>
      </w:r>
    </w:p>
    <w:p w:rsidR="006D2DE8" w:rsidRPr="00750130" w:rsidRDefault="006D2DE8" w:rsidP="007501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130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Максимальный доход для УСН увеличен до 450 </w:t>
      </w:r>
      <w:proofErr w:type="gramStart"/>
      <w:r w:rsidRPr="00750130">
        <w:rPr>
          <w:rFonts w:ascii="Times New Roman" w:eastAsia="Times New Roman" w:hAnsi="Times New Roman" w:cs="Times New Roman"/>
          <w:sz w:val="24"/>
          <w:szCs w:val="24"/>
          <w:lang w:eastAsia="ru-RU"/>
        </w:rPr>
        <w:t>млн</w:t>
      </w:r>
      <w:proofErr w:type="gramEnd"/>
      <w:r w:rsidRPr="007501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руб., повышенных ставок не будет (ст. 2 Закона </w:t>
      </w:r>
      <w:hyperlink r:id="rId24" w:tgtFrame="_blank" w:history="1">
        <w:r w:rsidRPr="0075013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№ 176-ФЗ</w:t>
        </w:r>
      </w:hyperlink>
      <w:r w:rsidRPr="00750130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6D2DE8" w:rsidRPr="00750130" w:rsidRDefault="006D2DE8" w:rsidP="007501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1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Текущие показатели: доходы за год </w:t>
      </w:r>
      <w:r w:rsidR="00F7158A" w:rsidRPr="00750130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7501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 более 265,8 </w:t>
      </w:r>
      <w:proofErr w:type="gramStart"/>
      <w:r w:rsidRPr="00750130">
        <w:rPr>
          <w:rFonts w:ascii="Times New Roman" w:eastAsia="Times New Roman" w:hAnsi="Times New Roman" w:cs="Times New Roman"/>
          <w:sz w:val="24"/>
          <w:szCs w:val="24"/>
          <w:lang w:eastAsia="ru-RU"/>
        </w:rPr>
        <w:t>млн</w:t>
      </w:r>
      <w:proofErr w:type="gramEnd"/>
      <w:r w:rsidRPr="007501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 (200 млн руб. × </w:t>
      </w:r>
      <w:hyperlink r:id="rId25" w:tgtFrame="_blank" w:history="1">
        <w:r w:rsidRPr="0075013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1,329</w:t>
        </w:r>
      </w:hyperlink>
      <w:r w:rsidRPr="00750130">
        <w:rPr>
          <w:rFonts w:ascii="Times New Roman" w:eastAsia="Times New Roman" w:hAnsi="Times New Roman" w:cs="Times New Roman"/>
          <w:sz w:val="24"/>
          <w:szCs w:val="24"/>
          <w:lang w:eastAsia="ru-RU"/>
        </w:rPr>
        <w:t>). При доходах от 199,35 до 265,8 </w:t>
      </w:r>
      <w:proofErr w:type="gramStart"/>
      <w:r w:rsidRPr="00750130">
        <w:rPr>
          <w:rFonts w:ascii="Times New Roman" w:eastAsia="Times New Roman" w:hAnsi="Times New Roman" w:cs="Times New Roman"/>
          <w:sz w:val="24"/>
          <w:szCs w:val="24"/>
          <w:lang w:eastAsia="ru-RU"/>
        </w:rPr>
        <w:t>млн</w:t>
      </w:r>
      <w:proofErr w:type="gramEnd"/>
      <w:r w:rsidRPr="007501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 налог надо платить по повышенным ставкам.</w:t>
      </w:r>
      <w:r w:rsidR="00674FCF" w:rsidRPr="007501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50130">
        <w:rPr>
          <w:rFonts w:ascii="Times New Roman" w:eastAsia="Times New Roman" w:hAnsi="Times New Roman" w:cs="Times New Roman"/>
          <w:sz w:val="24"/>
          <w:szCs w:val="24"/>
          <w:lang w:eastAsia="ru-RU"/>
        </w:rPr>
        <w:t>В итоге большее количество организаций и ИП получит возможность применять УСН.</w:t>
      </w:r>
    </w:p>
    <w:p w:rsidR="006D2DE8" w:rsidRPr="00750130" w:rsidRDefault="006D2DE8" w:rsidP="007501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130">
        <w:rPr>
          <w:rFonts w:ascii="Times New Roman" w:eastAsia="Times New Roman" w:hAnsi="Times New Roman" w:cs="Times New Roman"/>
          <w:sz w:val="24"/>
          <w:szCs w:val="24"/>
          <w:lang w:eastAsia="ru-RU"/>
        </w:rPr>
        <w:t>С 2025 года упрощенцы станут плательщиками НДС, но при доходах до 60 </w:t>
      </w:r>
      <w:proofErr w:type="gramStart"/>
      <w:r w:rsidRPr="00750130">
        <w:rPr>
          <w:rFonts w:ascii="Times New Roman" w:eastAsia="Times New Roman" w:hAnsi="Times New Roman" w:cs="Times New Roman"/>
          <w:sz w:val="24"/>
          <w:szCs w:val="24"/>
          <w:lang w:eastAsia="ru-RU"/>
        </w:rPr>
        <w:t>млн</w:t>
      </w:r>
      <w:proofErr w:type="gramEnd"/>
      <w:r w:rsidRPr="007501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 они получат освобождение от этого налога. При доходах от 60 до 250 </w:t>
      </w:r>
      <w:proofErr w:type="gramStart"/>
      <w:r w:rsidRPr="00750130">
        <w:rPr>
          <w:rFonts w:ascii="Times New Roman" w:eastAsia="Times New Roman" w:hAnsi="Times New Roman" w:cs="Times New Roman"/>
          <w:sz w:val="24"/>
          <w:szCs w:val="24"/>
          <w:lang w:eastAsia="ru-RU"/>
        </w:rPr>
        <w:t>млн</w:t>
      </w:r>
      <w:proofErr w:type="gramEnd"/>
      <w:r w:rsidRPr="007501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 есть возможность платить НДС по ставке 5%, а свыше 250 млн руб. </w:t>
      </w:r>
      <w:r w:rsidR="00F7158A" w:rsidRPr="00750130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7501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7%, но вычеты входного НДС при таких ставках применять будет нельзя (ст. 2 Закона </w:t>
      </w:r>
      <w:hyperlink r:id="rId26" w:tgtFrame="_blank" w:history="1">
        <w:r w:rsidRPr="0075013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№ 176-ФЗ</w:t>
        </w:r>
      </w:hyperlink>
      <w:r w:rsidRPr="007501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6D2DE8" w:rsidRPr="00750130" w:rsidRDefault="006D2DE8" w:rsidP="007501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130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Другая проблема заключается в том, что обязанность уплаты НДС в любом случае повлияет на цену товаров, работ и услуг. Следовательно, для розничных продавцов больше подойдут ставки 5 и 7%. Ведь их покупатели не будут принимать НДС к вычету.</w:t>
      </w:r>
    </w:p>
    <w:p w:rsidR="006D2DE8" w:rsidRPr="00750130" w:rsidRDefault="006D2DE8" w:rsidP="007501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13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Предстоящие изменения требуют детального анализа и изучения со стороны компаний и ИП, применяющих УСН, им потребуется адаптировать свой бизнес к новым условиям. Остаться на УСН будет выгодно тем, кто в итоге заплатит меньше налогов, чем на ОСНО. Рекомендуем просчитать налоговую нагрузку на будущий год заранее и, исходя из этого, выбрать оптимальный режим налогообложения.</w:t>
      </w:r>
    </w:p>
    <w:p w:rsidR="006D2DE8" w:rsidRPr="00750130" w:rsidRDefault="006D2DE8" w:rsidP="007501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130">
        <w:rPr>
          <w:rFonts w:ascii="Times New Roman" w:eastAsia="Times New Roman" w:hAnsi="Times New Roman" w:cs="Times New Roman"/>
          <w:sz w:val="24"/>
          <w:szCs w:val="24"/>
          <w:lang w:eastAsia="ru-RU"/>
        </w:rPr>
        <w:t>Но все же для большинства фирм и ИП на упрощенке мало что изменится, так как их годовой доход меньше 60 млн</w:t>
      </w:r>
      <w:r w:rsidR="0069503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501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</w:t>
      </w:r>
    </w:p>
    <w:p w:rsidR="00C20714" w:rsidRDefault="00C20714" w:rsidP="00750130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D2DE8" w:rsidRPr="00750130" w:rsidRDefault="006D2DE8" w:rsidP="00750130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501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Налог на имущество</w:t>
      </w:r>
    </w:p>
    <w:p w:rsidR="006D2DE8" w:rsidRPr="00750130" w:rsidRDefault="006D2DE8" w:rsidP="007501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130">
        <w:rPr>
          <w:rFonts w:ascii="Times New Roman" w:eastAsia="Times New Roman" w:hAnsi="Times New Roman" w:cs="Times New Roman"/>
          <w:sz w:val="24"/>
          <w:szCs w:val="24"/>
          <w:lang w:eastAsia="ru-RU"/>
        </w:rPr>
        <w:t>С 1 января 2025 года для недвижимости с кадастровой стоимостью свыше 300 млн</w:t>
      </w:r>
      <w:r w:rsidR="00674FCF" w:rsidRPr="0075013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501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 субъекты РФ смогут устанавливать налоговую ставку до 2,5% (п. 79 ст. 2 Закона </w:t>
      </w:r>
      <w:hyperlink r:id="rId27" w:tgtFrame="_blank" w:history="1">
        <w:r w:rsidRPr="0075013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№ 176-ФЗ</w:t>
        </w:r>
      </w:hyperlink>
      <w:r w:rsidRPr="007501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6D2DE8" w:rsidRPr="00750130" w:rsidRDefault="006D2DE8" w:rsidP="007501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1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 настоящее время Налоговый кодекс РФ установил максимальную ставку налога </w:t>
      </w:r>
      <w:r w:rsidR="00F7158A" w:rsidRPr="00750130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7501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2,2%, а также пониженные и нулевые ставки для отдельных видов недвижимого имущества.</w:t>
      </w:r>
    </w:p>
    <w:p w:rsidR="006D2DE8" w:rsidRPr="00750130" w:rsidRDefault="006D2DE8" w:rsidP="007501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13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Основная тенденция на повышение налогов очевидна. Но если в НДФЛ рост налоговой нагрузки находится в прямой зависимости от доходов граждан, то в налоге на прибыль основная ставка возрастет для всех организаций. Тем не </w:t>
      </w:r>
      <w:proofErr w:type="gramStart"/>
      <w:r w:rsidRPr="0075013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менее</w:t>
      </w:r>
      <w:proofErr w:type="gramEnd"/>
      <w:r w:rsidRPr="007501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главный принцип отечественной налоговой системы сохранился </w:t>
      </w:r>
      <w:r w:rsidR="00F7158A" w:rsidRPr="00750130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7501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большую часть налогов в бюджетную систему платят не граждане, а бизнес.</w:t>
      </w:r>
    </w:p>
    <w:sectPr w:rsidR="006D2DE8" w:rsidRPr="007501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723E6"/>
    <w:multiLevelType w:val="multilevel"/>
    <w:tmpl w:val="C23AD1D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647180"/>
    <w:multiLevelType w:val="multilevel"/>
    <w:tmpl w:val="1CF8C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802D4C"/>
    <w:multiLevelType w:val="multilevel"/>
    <w:tmpl w:val="DF9E34C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A72548"/>
    <w:multiLevelType w:val="multilevel"/>
    <w:tmpl w:val="D050074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09E415E"/>
    <w:multiLevelType w:val="multilevel"/>
    <w:tmpl w:val="F20A0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7570D65"/>
    <w:multiLevelType w:val="multilevel"/>
    <w:tmpl w:val="3BB4C30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41674C"/>
    <w:multiLevelType w:val="multilevel"/>
    <w:tmpl w:val="34423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8DD6A9F"/>
    <w:multiLevelType w:val="multilevel"/>
    <w:tmpl w:val="5E845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1"/>
  </w:num>
  <w:num w:numId="5">
    <w:abstractNumId w:val="3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BE6"/>
    <w:rsid w:val="000D09D2"/>
    <w:rsid w:val="002130EF"/>
    <w:rsid w:val="0033571A"/>
    <w:rsid w:val="00407E34"/>
    <w:rsid w:val="00447BE6"/>
    <w:rsid w:val="00464BD1"/>
    <w:rsid w:val="00597785"/>
    <w:rsid w:val="00674FCF"/>
    <w:rsid w:val="00695032"/>
    <w:rsid w:val="006D2DE8"/>
    <w:rsid w:val="00750130"/>
    <w:rsid w:val="00882061"/>
    <w:rsid w:val="00AB24D1"/>
    <w:rsid w:val="00C20714"/>
    <w:rsid w:val="00D21039"/>
    <w:rsid w:val="00EF37B5"/>
    <w:rsid w:val="00F1115B"/>
    <w:rsid w:val="00F5416C"/>
    <w:rsid w:val="00F71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D2D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D2DE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D2D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D2D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4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04588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9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2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89269/" TargetMode="External"/><Relationship Id="rId13" Type="http://schemas.openxmlformats.org/officeDocument/2006/relationships/hyperlink" Target="https://normativ.kontur.ru/document?moduleId=1&amp;documentId=475521" TargetMode="External"/><Relationship Id="rId18" Type="http://schemas.openxmlformats.org/officeDocument/2006/relationships/hyperlink" Target="https://normativ.kontur.ru/document?moduleId=1&amp;documentId=475521" TargetMode="External"/><Relationship Id="rId26" Type="http://schemas.openxmlformats.org/officeDocument/2006/relationships/hyperlink" Target="https://normativ.kontur.ru/document?moduleId=1&amp;documentId=474408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normativ.kontur.ru/document?moduleId=1&amp;documentId=475521" TargetMode="External"/><Relationship Id="rId7" Type="http://schemas.openxmlformats.org/officeDocument/2006/relationships/hyperlink" Target="https://www.consultant.ru/document/cons_doc_LAW_482529/" TargetMode="External"/><Relationship Id="rId12" Type="http://schemas.openxmlformats.org/officeDocument/2006/relationships/hyperlink" Target="https://normativ.kontur.ru/document?moduleId=1&amp;documentId=475521" TargetMode="External"/><Relationship Id="rId17" Type="http://schemas.openxmlformats.org/officeDocument/2006/relationships/hyperlink" Target="https://normativ.kontur.ru/document?moduleId=8&amp;documentId=414481" TargetMode="External"/><Relationship Id="rId25" Type="http://schemas.openxmlformats.org/officeDocument/2006/relationships/hyperlink" Target="https://login.consultant.ru/link/?req=doc&amp;base=LAW&amp;n=462324&amp;dst=100008" TargetMode="External"/><Relationship Id="rId2" Type="http://schemas.openxmlformats.org/officeDocument/2006/relationships/styles" Target="styles.xml"/><Relationship Id="rId16" Type="http://schemas.openxmlformats.org/officeDocument/2006/relationships/hyperlink" Target="https://normativ.kontur.ru/document?moduleId=1&amp;documentId=474408" TargetMode="External"/><Relationship Id="rId20" Type="http://schemas.openxmlformats.org/officeDocument/2006/relationships/hyperlink" Target="https://normativ.kontur.ru/document?moduleId=1&amp;documentId=474408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publication.pravo.gov.ru/document/0001202407120009" TargetMode="External"/><Relationship Id="rId11" Type="http://schemas.openxmlformats.org/officeDocument/2006/relationships/hyperlink" Target="https://normativ.kontur.ru/document?moduleId=1&amp;documentId=475521" TargetMode="External"/><Relationship Id="rId24" Type="http://schemas.openxmlformats.org/officeDocument/2006/relationships/hyperlink" Target="https://normativ.kontur.ru/document?moduleId=1&amp;documentId=47440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normativ.kontur.ru/document?moduleId=1&amp;documentId=474408" TargetMode="External"/><Relationship Id="rId23" Type="http://schemas.openxmlformats.org/officeDocument/2006/relationships/hyperlink" Target="https://normativ.kontur.ru/document?moduleId=1&amp;documentId=475521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normativ.kontur.ru/document?moduleId=1&amp;documentId=464695" TargetMode="External"/><Relationship Id="rId19" Type="http://schemas.openxmlformats.org/officeDocument/2006/relationships/hyperlink" Target="https://normativ.kontur.ru/document?moduleId=1&amp;documentId=47552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491748/" TargetMode="External"/><Relationship Id="rId14" Type="http://schemas.openxmlformats.org/officeDocument/2006/relationships/hyperlink" Target="https://normativ.kontur.ru/document?moduleId=1&amp;documentId=463662" TargetMode="External"/><Relationship Id="rId22" Type="http://schemas.openxmlformats.org/officeDocument/2006/relationships/hyperlink" Target="https://normativ.kontur.ru/document?moduleId=1&amp;documentId=438750" TargetMode="External"/><Relationship Id="rId27" Type="http://schemas.openxmlformats.org/officeDocument/2006/relationships/hyperlink" Target="https://normativ.kontur.ru/document?moduleId=1&amp;documentId=4744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3</Pages>
  <Words>1537</Words>
  <Characters>8765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Prepodavatel</dc:creator>
  <cp:keywords/>
  <dc:description/>
  <cp:lastModifiedBy>Prepodavatel</cp:lastModifiedBy>
  <cp:revision>7</cp:revision>
  <dcterms:created xsi:type="dcterms:W3CDTF">2025-03-17T11:02:00Z</dcterms:created>
  <dcterms:modified xsi:type="dcterms:W3CDTF">2025-06-18T08:44:00Z</dcterms:modified>
</cp:coreProperties>
</file>