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61" w:rsidRDefault="00E55D61" w:rsidP="00E55D61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Оценка соматического статуса курируемого ребенка.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 момент обследования ребенка, жалоб на соматическое здоровье не отмечалось.</w:t>
      </w: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2376"/>
        <w:gridCol w:w="2552"/>
        <w:gridCol w:w="4596"/>
      </w:tblGrid>
      <w:tr w:rsidR="00E55D61" w:rsidTr="001C0F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Антропометрические данные:</w:t>
            </w:r>
          </w:p>
        </w:tc>
      </w:tr>
      <w:tr w:rsidR="00E55D61" w:rsidTr="001C0F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Рост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5D61" w:rsidTr="001C0F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Новорожденный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 г.</w:t>
            </w:r>
          </w:p>
        </w:tc>
      </w:tr>
      <w:tr w:rsidR="00E55D61" w:rsidTr="001C0F9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1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см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кг.</w:t>
            </w:r>
          </w:p>
        </w:tc>
      </w:tr>
    </w:tbl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Телосложение правильное, выраженный шейно-тонический синдром,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надплечий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голова нормальной формы, конечности одинаковой длины.</w:t>
      </w: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Кожные покровы физиологической окраски, чистые, теплые; подкожная жировая клетчатка развита нормально. </w:t>
      </w: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Имеются нарушения крупной и мелкой моторики. Эмоционально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неуравновешен</w:t>
      </w:r>
      <w:proofErr w:type="gramEnd"/>
      <w:r>
        <w:rPr>
          <w:rFonts w:ascii="Times New Roman" w:hAnsi="Times New Roman" w:cs="Times New Roman"/>
          <w:sz w:val="24"/>
          <w:szCs w:val="24"/>
        </w:rPr>
        <w:t>, склонен к негативизму и отказным реакциям. Взгляд блуждающий. Интеллектуальное развитие ниже возрастной нормы. Речь нарушена, распространенные предложения формулировать не может.</w:t>
      </w: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 2022 год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больничном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 3 раза с ОРВИ. Со слов матери проблем со здоровьем у ребенка нет, кроме задержки речевого развития.</w:t>
      </w:r>
    </w:p>
    <w:p w:rsidR="00E55D61" w:rsidRDefault="00E55D61" w:rsidP="00E55D61">
      <w:pPr>
        <w:tabs>
          <w:tab w:val="left" w:pos="0"/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 группа здоровья ребенка – II, медицинская группа здоровья для занятий физкультурой: подготовительная. </w:t>
      </w:r>
    </w:p>
    <w:p w:rsidR="00E55D61" w:rsidRDefault="00E55D61" w:rsidP="00E55D61">
      <w:pPr>
        <w:spacing w:after="0" w:line="240" w:lineRule="auto"/>
        <w:ind w:firstLine="709"/>
        <w:jc w:val="center"/>
      </w:pPr>
    </w:p>
    <w:p w:rsidR="00E55D61" w:rsidRDefault="00E55D61" w:rsidP="00E55D61">
      <w:pPr>
        <w:spacing w:after="0" w:line="240" w:lineRule="auto"/>
        <w:ind w:firstLine="709"/>
        <w:jc w:val="center"/>
      </w:pPr>
    </w:p>
    <w:p w:rsidR="00E55D61" w:rsidRDefault="00E55D61" w:rsidP="00E55D61">
      <w:pPr>
        <w:spacing w:after="0" w:line="240" w:lineRule="auto"/>
        <w:ind w:firstLine="709"/>
        <w:jc w:val="center"/>
      </w:pPr>
    </w:p>
    <w:p w:rsidR="00E55D61" w:rsidRDefault="00E55D61" w:rsidP="00E55D61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2.2.Оценка неврологического статуса</w:t>
      </w:r>
    </w:p>
    <w:p w:rsidR="00E55D61" w:rsidRDefault="00E55D61" w:rsidP="00E55D61">
      <w:pPr>
        <w:spacing w:after="0" w:line="240" w:lineRule="auto"/>
        <w:ind w:firstLine="709"/>
        <w:jc w:val="center"/>
      </w:pPr>
    </w:p>
    <w:p w:rsidR="00E55D61" w:rsidRDefault="00E55D61" w:rsidP="00E55D61">
      <w:pPr>
        <w:tabs>
          <w:tab w:val="left" w:pos="6120"/>
        </w:tabs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Исследование черепных нервов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1. Обонятельный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olfactorius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>чувствительный, образован длинными отростками (аксонами) обонятельных клеток, которые располагаются в слизистой оболочке обонятельной области полости носа.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Для исследования обоняния был использован набор с ароматическими веществами, запахи которых известны ребенку: апельсин, лук, малина. Каждая половина носа исследовалась отдельно.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Вывод: обонятельный нерв в норме, обоняние сохранено.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2. Зрительный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чувствительный, образован аксонами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ганглиозных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клеток сетчатой оболочки глаза. Является проводником зрительных импульсов.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об остроте зрения,</w:t>
      </w:r>
      <w:r>
        <w:rPr>
          <w:rFonts w:ascii="Times New Roman" w:hAnsi="Times New Roman" w:cs="Times New Roman"/>
          <w:sz w:val="24"/>
          <w:szCs w:val="24"/>
        </w:rPr>
        <w:t xml:space="preserve"> цветоощущении, поле зрения и глазном дне были взяты из медицинской карты исследуемого. В заключении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физиологическая гиперметропия 1 степени обоих глаз,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ангиопатия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сетчатки обоих глаз. Диагноз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мкб</w:t>
      </w:r>
      <w:proofErr w:type="spellEnd"/>
      <w:r>
        <w:rPr>
          <w:rFonts w:ascii="Times New Roman" w:hAnsi="Times New Roman" w:cs="Times New Roman"/>
          <w:sz w:val="24"/>
          <w:szCs w:val="24"/>
        </w:rPr>
        <w:t>: (Н52.0) Гиперметропия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Вывод: зрительный нерв нарушен.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Глазодвигательный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нерв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oculomotorius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состоит из двигательных соматических и эфферентных парасимпатических нервных волокон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Двигательные соматические волокна этих ветвей иннервируют 5 поперечнополосатых мышц глазного яблока: верхнюю, нижнюю и медиальную прямые, нижнюю косую и мышцу, поднимающую верхнее веко, а парасимпатические волокна - мышцу, суживающую зрачок, и ресничную, или цилиарную, мышцу (обе гладкие).</w:t>
      </w:r>
      <w:proofErr w:type="gramEnd"/>
    </w:p>
    <w:p w:rsidR="00E55D61" w:rsidRDefault="00E55D61" w:rsidP="00E55D61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4"/>
          <w:szCs w:val="24"/>
        </w:rPr>
        <w:tab/>
        <w:t>Блоковый нерв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trochlearis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двигательный, тонкий, начинается от ядра, расположенного на дне водопровода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мозга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нижних холмиков крыши среднего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мозга. Нерв проходит в глазницу через верхнюю глазничную щель сверху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латеральнее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глазодвигательного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нерва, доходит до верхней косой мышцы глазного яблока и иннервирует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тводящий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Abducens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двигательный, иннервирует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латеральную(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наружную) прямую мышцу глазного яблока.</w:t>
      </w:r>
    </w:p>
    <w:p w:rsidR="00E55D61" w:rsidRDefault="00E55D61" w:rsidP="00E55D61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III, IV и VI пары нервов, </w:t>
      </w:r>
      <w:r>
        <w:rPr>
          <w:rFonts w:ascii="Times New Roman" w:hAnsi="Times New Roman" w:cs="Times New Roman"/>
          <w:sz w:val="24"/>
          <w:szCs w:val="24"/>
        </w:rPr>
        <w:t>имеющие отношение к иннервации мышц глазного яблока, обследуются одновременно. Исследовались движения глазных яблок при взгляде вверх, вниз, вправо, влево, подвижность верхнего века, размеры и форма зрачка, глубина положения глазных яблок в глазницах, целостное восприятие предметов.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 - показатели в норме: глазные щели равномерные; зрачки равномерные, реагируют на яркость света. Движения глазных яблок не нарушены, в полном объеме.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Тройничный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Trigeminus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смешанный, самый толстый из всех черепных нервов.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Состоит из чувствительных и двигательных нервных волокон. Эти нервные волокна (дендриты) образуют 3 ветви нерва: первая - глазной нерв, вторая - верхнечелюстной нерв и третья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ижнечелюстной нерв.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отношение к чувствительной иннервации образований головы и двигательной иннервации жевательных мышц. В составе ветвей тройничного нерва распространяются проводники (волокна) от лицевого нерва – вкусовые, парасимпатические (секреторные) к языку, к слюнным железам. 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проверялась чувствительность симметричных участков кожи лица,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корнеальный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рефлекс, места выхода ветвей тройничного нерва (точки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глазного, верхнечелюстного, нижнечелюстного нервов, прикасаясь кисточкой к коже лица. Ребенок точно указывает на места прикосновений с обеих сторон. 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Определяли тонус и сократительную степень жевательных мышц, попросив сжать зубы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пропальпировав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его жевательные мышцы. Сокращение жевательных мышц были сильными и симметричными, что свидетельствует о норме.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актильную чувствительность языка.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Вывод - показатели тройничного нерва в норме. Чувствительность кожи лица сохранена, точки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безболезненные при пальпации, общая и вкусовая чувствительность передней 2/3 языка не нарушена.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рефлексы сохранены. Функция и трофика жевательных мышц не нарушена.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Лицевой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Facialis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смешанный, объединяет два нерва: собственно лицевой, образуемый двигательными волокнами клеток ядра лицевого нерва, и промежуточный нерв, представленный чувствительными вкусовыми и вегетативными (парасимпатическими) волокнами и соответствующими ядрами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исследовании определяли симметричность кожных складок на лице – носогубных, лобных, глазных щелей, углов рта, состояние ротовой щели, движение губ, смыкание век, мимические функции — просили повторить выражение лица (удивление, испуг, радость)</w:t>
      </w:r>
      <w:proofErr w:type="gramEnd"/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Отмечено, что симметричность складок, углов рта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нарушены</w:t>
      </w:r>
      <w:proofErr w:type="gramEnd"/>
      <w:r>
        <w:rPr>
          <w:rFonts w:ascii="Times New Roman" w:hAnsi="Times New Roman" w:cs="Times New Roman"/>
          <w:sz w:val="24"/>
          <w:szCs w:val="24"/>
        </w:rPr>
        <w:t>. Зажмуривание глаз, способность сомкнуть, вытянуть губы хоботком – сохранены, оскал зубов не нарушен, но лобная область практически неподвижна -  хмурить брови и морщить лоб не получается.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Вывод: функции лицевого нерва частично нарушены.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6. Преддверно-улитковый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vestibulo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cochlearis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чувствительный, образован чувствительными нервными волокнами, идущими от органа слуха и равновесия. </w:t>
      </w:r>
      <w:r>
        <w:rPr>
          <w:rFonts w:ascii="Times New Roman" w:hAnsi="Times New Roman" w:cs="Times New Roman"/>
          <w:sz w:val="24"/>
          <w:szCs w:val="24"/>
        </w:rPr>
        <w:t>Содержит чувствительные проводники от органа слуха и вестибулярного аппарата (гравитации).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Исследовали остроту слуха, направлением источника звука в пространстве с помощью речевых проб (шепотная речь) на расстоянии 5-7 метров — отмечены проблемы  со слухом,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повторил ни одного слова. После визита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оториноларинголога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подтвердилось воспаление.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Исследование вестибулярного аппарата – испытуемого попросили с закрытыми глазами сделать несколько оборотов и пройтись -   головокружений нет. 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 функции преддверно-улиткового нерва частично нарушены.</w:t>
      </w:r>
    </w:p>
    <w:p w:rsidR="00E55D61" w:rsidRDefault="00E55D61" w:rsidP="00E55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Языкоглоточный нерв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Glossopharyngeus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смешанный, содержит чувствительные, двигательные и вегетативные нервные волокна, но чувствительные волокна в нем преобладают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блуждающий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смешанный, является самым длинным из черепных нервов. Имеет в своем составе чувствительные, двигательные и парасимпатические волокна.</w:t>
      </w:r>
      <w:r>
        <w:rPr>
          <w:rFonts w:ascii="Times New Roman" w:hAnsi="Times New Roman" w:cs="Times New Roman"/>
          <w:sz w:val="24"/>
          <w:szCs w:val="24"/>
        </w:rPr>
        <w:t xml:space="preserve"> Исследуются одновременно, т.к. имеют общие ядра и участвуют в иннервации образований полости рта, глотки, гортани, топографически выходят рядом из мозга.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Определяют положение и подвижность мягкого неба при произношении звука «а», глотание, фонацию, чувствительность глотки и корня языка, небный и глоточный рефлексы, вкус на корне языка, состояние голосовой  щели.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Было определено, что мягкое небо симметрично, подвижно при глотательных движениях, глотание и звучность голоса не нарушены. Дыхание спокойное, ритмичное. Пульс нормальной частоты. Глоточный рефлекс активный.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Вывод:  языкоглоточный нерв в норме.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8. Добавочный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n.accessorius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>двигательный, имеет два ядра: одно залегает в продолговатом мозге, а другое - в спинном.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Исследуют положение и симметричность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надплечий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головы, состояние трапециевидных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грудино-ключично-сосцевидных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кивательных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мышц, повороты головы, пожимание плечами, сближение лопаток.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Присутствует выраженный шейно-тонический синдром. Объем движений в шейном отделе позвоночника ограничен в обе стороны, хуже вправо. Асимметрия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надплечий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лопаток, ротация плечевых суставов кпереди.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 — добавочный нерв нарушен.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9. Подъязычный нерв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пара,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hypoglossius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— </w:t>
      </w:r>
      <w:r>
        <w:rPr>
          <w:rFonts w:ascii="Times New Roman" w:hAnsi="Times New Roman" w:cs="Times New Roman"/>
          <w:color w:val="000000"/>
          <w:sz w:val="24"/>
          <w:szCs w:val="24"/>
        </w:rPr>
        <w:t>двигательный, его ядро расположено в продолговатом мозге.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Определяют положение языка в полости рта и при высовывании, тонус и движения языка, произношение слов.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Отмечены трудности удержания артикуляционной позы, язык напряжен, отодвинут назад в форме горки, малоподвижен, дизартрия. 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Вывод: подъязычный нерв нарушен.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888"/>
        <w:gridCol w:w="888"/>
        <w:gridCol w:w="888"/>
        <w:gridCol w:w="888"/>
        <w:gridCol w:w="888"/>
        <w:gridCol w:w="888"/>
        <w:gridCol w:w="888"/>
        <w:gridCol w:w="888"/>
        <w:gridCol w:w="904"/>
      </w:tblGrid>
      <w:tr w:rsidR="00E55D61" w:rsidTr="001C0F95"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Пара нервов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III, IV, VI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XI,X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XII</w:t>
            </w:r>
          </w:p>
        </w:tc>
      </w:tr>
      <w:tr w:rsidR="00E55D61" w:rsidTr="001C0F95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D61" w:rsidTr="001C0F95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патология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55D61" w:rsidTr="001C0F95"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тотальное нарушение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D61" w:rsidRDefault="00E55D61" w:rsidP="001C0F95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патология зрительного нерва: физиологическая гиперметропия 1 степени обоих глаз,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ангиопатия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сетчатки обоих глаз. Диагноз МКБ: гиперметропия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патология лицевого нерва: функции частично сохранны; патология преддверно-улиткового нерва: функции частично сохранны, нарушение остроты слуха;   патология добавочного нерва: Присутствует выраженный шейно-тонический синдром. Объем движений в шейном отделе позвоночника ограничен в обе стороны, хуже вправо. Асимметрия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надплечий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лопаток, ротация плечевых суставов кпереди; патология подъязычного нерва: дизартрия, речь расстроена.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тотальных нарушений среди черепно-мозговых нервов не наблюдается, не критические нарушения имеются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VII, VIII, XI,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парах.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b/>
          <w:sz w:val="24"/>
          <w:szCs w:val="24"/>
        </w:rPr>
        <w:t>2.  Исследование рефлекторной и двигательной сфер (моторика)</w:t>
      </w: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Силу мышечных сокращений</w:t>
      </w:r>
      <w:r>
        <w:rPr>
          <w:rFonts w:ascii="Times New Roman" w:hAnsi="Times New Roman" w:cs="Times New Roman"/>
          <w:sz w:val="24"/>
          <w:szCs w:val="24"/>
        </w:rPr>
        <w:t xml:space="preserve"> определи с помощь рукопожатия — рукопожатие крепкое. При пробе Баре быстрее опустилась правая рука.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Исследование мышечного тонуса</w:t>
      </w:r>
      <w:r>
        <w:rPr>
          <w:rFonts w:ascii="Times New Roman" w:hAnsi="Times New Roman" w:cs="Times New Roman"/>
          <w:sz w:val="24"/>
          <w:szCs w:val="24"/>
        </w:rPr>
        <w:t xml:space="preserve"> проводили при помощи наблюдения. Плечевой пояс находится в постоянном тонусе, плечи отведены вперед. Вывод — повышенный мышечный  (мышечная гипертония).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Координационные, целенаправленные движения</w:t>
      </w:r>
      <w:r>
        <w:rPr>
          <w:rFonts w:ascii="Times New Roman" w:hAnsi="Times New Roman" w:cs="Times New Roman"/>
          <w:sz w:val="24"/>
          <w:szCs w:val="24"/>
        </w:rPr>
        <w:t xml:space="preserve"> исследуют с помощью проб на статическую и динамическую координацию. Равновесие анализируется в позе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обследуемый ребенок стоит так, чтобы носки и пятки обеих ног были сближены и должен удержать равновесие с открытыми, затем закрытыми глазами, с вытянутыми вперед руками и разведенными веерообразно пальцами. Симптом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положительный - наблюдались пошатывания обследуемого. </w:t>
      </w:r>
    </w:p>
    <w:p w:rsidR="00E55D61" w:rsidRDefault="00E55D61" w:rsidP="00E55D61">
      <w:pPr>
        <w:spacing w:after="0" w:line="240" w:lineRule="auto"/>
        <w:ind w:firstLine="709"/>
        <w:jc w:val="both"/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Пальце-носовая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проба:</w:t>
      </w:r>
      <w:r>
        <w:rPr>
          <w:rFonts w:ascii="Times New Roman" w:hAnsi="Times New Roman" w:cs="Times New Roman"/>
          <w:sz w:val="24"/>
          <w:szCs w:val="24"/>
        </w:rPr>
        <w:t xml:space="preserve"> обследуемого просят с закрытыми глазами дотянуться указательным пальцем до кончика носа. Проба положительная — Иван попал пальцем в нос 2 раза из 5. Вывод — есть нарушения мозжечка.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у Ивана присутствует нарушение поз, ходьбы и стояния, тремор кисти. Пошатывания в позе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мимопопадание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пальце-носовой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пробе, нарушение произносительной речи.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b/>
          <w:sz w:val="24"/>
          <w:szCs w:val="24"/>
        </w:rPr>
        <w:t>3.Исследование поверхностной чувствительности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5D61" w:rsidRDefault="00E55D61" w:rsidP="00E55D61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Тактильная чувствительность (чувство осязания) – исследуется прикосновением ватки или кисточки. В норме, Иван чувствует прикосновения кисточки к телу.</w:t>
      </w:r>
    </w:p>
    <w:p w:rsidR="00E55D61" w:rsidRDefault="00E55D61" w:rsidP="00E55D61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Терморецепция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(температурная чувствительность) определяется прикосновением пробирок с горячей и холодной водой — в норме.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i/>
          <w:sz w:val="24"/>
          <w:szCs w:val="24"/>
        </w:rPr>
        <w:t>Исследование сложных видов чувствительности: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Чувство локализации</w:t>
      </w:r>
      <w:r>
        <w:rPr>
          <w:rFonts w:ascii="Times New Roman" w:hAnsi="Times New Roman" w:cs="Times New Roman"/>
          <w:sz w:val="24"/>
          <w:szCs w:val="24"/>
        </w:rPr>
        <w:t xml:space="preserve"> определяют нанесением тактильного раздражения на кожу; при этом обследуемый должен узнать при закрытых глазах места прикосновения - в норме.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Дискриминационное чувство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оценивать два одинаковых раздражения, наносимых одновременно на кожу. Исследование проводят с помощью циркуля Вебера, ножки которого сближаются до ощущения одной точки — нарушено.  Иван говорит о сближении на расстоянии примерно 3 см.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Двухмерно-пространственное</w:t>
      </w:r>
      <w:r>
        <w:rPr>
          <w:rFonts w:ascii="Times New Roman" w:hAnsi="Times New Roman" w:cs="Times New Roman"/>
          <w:sz w:val="24"/>
          <w:szCs w:val="24"/>
        </w:rPr>
        <w:t xml:space="preserve"> чувство определяют имитацией на коже написания буквы, цифры, фигуры, которые должен назвать обследуемый при закрытых глазах — нарушено. Фигуры не определяет.</w:t>
      </w:r>
    </w:p>
    <w:p w:rsidR="00E55D61" w:rsidRDefault="00E55D61" w:rsidP="00E55D61">
      <w:pPr>
        <w:spacing w:after="0" w:line="24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Стереогностическое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чувство</w:t>
      </w:r>
      <w:r>
        <w:rPr>
          <w:rFonts w:ascii="Times New Roman" w:hAnsi="Times New Roman" w:cs="Times New Roman"/>
          <w:sz w:val="24"/>
          <w:szCs w:val="24"/>
        </w:rPr>
        <w:t xml:space="preserve"> – узнавание предметов, их основных качеств ощупыванием при закрытых глазах — частично нарушено. Шар и куб узнал, звезда и цилиндр вызвали затруднения.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: поверхностная чувствительность кожи частично нарушена.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оценке неврологического статуса: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Нарушения в координации, поверхностной чувствительности кожи, в произносительной стороне речи, присутствие нарушений в парах черепно-мозговых нервов могут говорить о том, что у ребенка может присутствовать задержка психического развития, предположительно отягощаемая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выраженным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шейно-тоническим синдром, приводящим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дифициту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кислорода в головном мозге.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center"/>
      </w:pPr>
      <w:r w:rsidRPr="00E55D61"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b/>
          <w:sz w:val="24"/>
          <w:szCs w:val="24"/>
        </w:rPr>
        <w:t>. Оценка психического развития</w:t>
      </w:r>
    </w:p>
    <w:p w:rsidR="00E55D61" w:rsidRDefault="00E55D61" w:rsidP="00E55D61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4"/>
          <w:szCs w:val="24"/>
        </w:rPr>
        <w:t>1. 1. Диагностическое интервью курируемого ребенка на следующие темы: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-Как тебя зовут?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-Ваня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Сколько тебе лет?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- 5 лет.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-Чем ты любишь заниматься дома?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 xml:space="preserve">-Собирать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конструктор.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 На улице?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 Кататься с горок.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-В садике?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-Играть машинками.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-Ты любишь рисовать?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-Читаешь с мамой книги?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-Тебе нравится ходить в детский сад?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 xml:space="preserve">-Да.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-У тебя есть здесь друзья?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-Ваня и Данил.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 А во дворе?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-Во дворе Вадик и Сережа.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-Чем вы занимаетесь, когда встречаетесь?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-Играем, бегаем.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-Тебе нравится ходить на занятия с Анной Павловной?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-Что тебе больше все нравится?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 xml:space="preserve"> - Все.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-Делаете дома домашние задания с мамой?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 xml:space="preserve">-Да.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-Интересно?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-Ты любишь находиться дома? 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-Тебе там спокойно? 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-Ты любишь маму?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-Папу? 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-Брата? 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-А они тебя?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-Тоже любят.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-Тебя хвалят, когда ты хорошо что-то сделаешь? 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-А ругают, когда плохо?</w:t>
      </w:r>
    </w:p>
    <w:p w:rsidR="00E55D61" w:rsidRDefault="00E55D61" w:rsidP="00E55D6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-Ты хочешь пойти в школу?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-Кем ты хочешь стать, когда вырастешь?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-Не знаю.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-Ты любишь помогать маме по дому? 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-Да.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-Что  ты умеешь делать сам?</w:t>
      </w:r>
    </w:p>
    <w:p w:rsidR="00E55D61" w:rsidRDefault="00E55D61" w:rsidP="00E55D61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ab/>
        <w:t>-Собирать игрушки, подметать.</w:t>
      </w: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отвечает на все вопросы преимущественно односложными предложениями. Речь нераспространенная, требуются дополнительные наводящие вопросы, на которые он может ответить ДА или НЕТ.</w:t>
      </w:r>
    </w:p>
    <w:p w:rsidR="00E55D61" w:rsidRDefault="00E55D61" w:rsidP="00E55D6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Со сверстниками в конта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упает легко, играют преимущественно машинками без вербального общения. На занятиях Иван крайне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несосредоточен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Приходится постоянно повторять требования. Базовыми социально-бытовыми навыками обладает.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Для оценки ВПФ могут быть использованы следующие методы:</w:t>
      </w:r>
    </w:p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</w:pPr>
    </w:p>
    <w:tbl>
      <w:tblPr>
        <w:tblW w:w="0" w:type="auto"/>
        <w:tblInd w:w="-25" w:type="dxa"/>
        <w:tblLayout w:type="fixed"/>
        <w:tblCellMar>
          <w:left w:w="113" w:type="dxa"/>
        </w:tblCellMar>
        <w:tblLook w:val="0000"/>
      </w:tblPr>
      <w:tblGrid>
        <w:gridCol w:w="673"/>
        <w:gridCol w:w="412"/>
        <w:gridCol w:w="2597"/>
        <w:gridCol w:w="4536"/>
      </w:tblGrid>
      <w:tr w:rsidR="00E55D61" w:rsidTr="001C0F95">
        <w:trPr>
          <w:trHeight w:val="385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М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Е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Объём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ДИАГНОСТИКА ОБЪЕМА ВНИМАНИЯ</w:t>
            </w:r>
          </w:p>
        </w:tc>
      </w:tr>
      <w:tr w:rsidR="00E55D61" w:rsidTr="001C0F95">
        <w:trPr>
          <w:trHeight w:val="40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Концентрация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МЕТОДИКА «НАЙДИ ОТЛИЧИЯ»</w:t>
            </w:r>
          </w:p>
        </w:tc>
      </w:tr>
      <w:tr w:rsidR="00E55D61" w:rsidTr="001C0F95">
        <w:trPr>
          <w:trHeight w:val="42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Устойчивость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«КОРРЕКТУРНАЯ ПРОБА», «ПЬЕРОНА РУЗЕРА»</w:t>
            </w:r>
          </w:p>
        </w:tc>
      </w:tr>
      <w:tr w:rsidR="00E55D61" w:rsidTr="001C0F95">
        <w:trPr>
          <w:trHeight w:val="41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Распределение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МЕТОДИКА «РАСПРЕДЕЛЕНИЕ ВНИМАНИЯ»</w:t>
            </w:r>
          </w:p>
        </w:tc>
      </w:tr>
      <w:tr w:rsidR="00E55D61" w:rsidTr="001C0F95">
        <w:trPr>
          <w:trHeight w:val="40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Переключение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МЕТОДИКА «ТАБЛИЦЫ ШУЛЬТЕ»</w:t>
            </w:r>
          </w:p>
        </w:tc>
      </w:tr>
      <w:tr w:rsidR="00E55D61" w:rsidTr="001C0F95">
        <w:trPr>
          <w:trHeight w:val="557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</w:t>
            </w:r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Пространственное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ТЕСТ «ЭТАЛОНЫ « ВЕНГЕРА Л.А» МЕТОДИКА «ПРОБА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ДИНАМИЧЕСКИЙ ПРАКСИС»</w:t>
            </w:r>
          </w:p>
        </w:tc>
      </w:tr>
      <w:tr w:rsidR="00E55D61" w:rsidTr="001C0F95">
        <w:trPr>
          <w:trHeight w:val="56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Времени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«ТЕСТ РИСОВАНИЕ ЧАСОВ»</w:t>
            </w:r>
          </w:p>
        </w:tc>
      </w:tr>
      <w:tr w:rsidR="00E55D61" w:rsidTr="001C0F95">
        <w:trPr>
          <w:trHeight w:val="54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Зрительное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МЕТОДИКА «УЗНАВАНИЕ НАЛОЖЕННЫХ ИЗОБРАЖЕНИЙ»</w:t>
            </w:r>
          </w:p>
        </w:tc>
      </w:tr>
      <w:tr w:rsidR="00E55D61" w:rsidTr="001C0F95">
        <w:trPr>
          <w:trHeight w:val="578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Слуховое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«ПОНИМАНИЕ ТЕКСТА», </w:t>
            </w:r>
          </w:p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«Т.Д. МАРЦИНОВСКОЙ»</w:t>
            </w:r>
          </w:p>
        </w:tc>
      </w:tr>
      <w:tr w:rsidR="00E55D61" w:rsidTr="001C0F95">
        <w:trPr>
          <w:trHeight w:val="437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Ь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Зрительная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ДИАГНОСТИКА ЗРИТЕЛЬНОЙ ПАМЯТИ «10 КАРТИНОК»</w:t>
            </w:r>
          </w:p>
        </w:tc>
      </w:tr>
      <w:tr w:rsidR="00E55D61" w:rsidTr="001C0F95">
        <w:trPr>
          <w:trHeight w:val="915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Х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Кратковременная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МЕТОДИКА «ЗАУЧИВАНИЯ 10 СЛОВ А.Р. ЛУРИЯ»</w:t>
            </w:r>
          </w:p>
        </w:tc>
      </w:tr>
      <w:tr w:rsidR="00E55D61" w:rsidTr="001C0F95">
        <w:trPr>
          <w:trHeight w:val="114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Долговременная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МЕТОДИКА «ЗАУЧИВАНИЯ 10 СЛОВ А.Р. ЛУРИЯ»</w:t>
            </w:r>
          </w:p>
        </w:tc>
      </w:tr>
      <w:tr w:rsidR="00E55D61" w:rsidTr="001C0F95">
        <w:trPr>
          <w:trHeight w:val="2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Смысловая</w:t>
            </w:r>
          </w:p>
          <w:p w:rsidR="00E55D61" w:rsidRDefault="00E55D61" w:rsidP="001C0F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«ОПОСРЕДОВАННОЕ ЗАПОМИНАНИЕ А.Н. ЛЕОНТЬЕВА»</w:t>
            </w:r>
          </w:p>
        </w:tc>
      </w:tr>
      <w:tr w:rsidR="00E55D61" w:rsidTr="001C0F95">
        <w:trPr>
          <w:trHeight w:val="23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</w:t>
            </w:r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Ш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Анализ</w:t>
            </w:r>
          </w:p>
          <w:p w:rsidR="00E55D61" w:rsidRDefault="00E55D61" w:rsidP="001C0F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«ОПРЕДЕЛЕНИЯ УРОВНЯ УМСТВЕННОГО РАЗВИТИЯ Э.Ф. ЗАМБАЦЯВИЧЕНЕ»</w:t>
            </w:r>
          </w:p>
        </w:tc>
      </w:tr>
      <w:tr w:rsidR="00E55D61" w:rsidTr="001C0F95">
        <w:trPr>
          <w:trHeight w:val="2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Синтез</w:t>
            </w:r>
          </w:p>
          <w:p w:rsidR="00E55D61" w:rsidRDefault="00E55D61" w:rsidP="001C0F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«ОПРЕДЕЛЕНИЯ УРОВНЯ УМСТВЕННОГО РАЗВИТИЯ Э.Ф. ЗАМБАЦЯВИЧЕНЕ»</w:t>
            </w:r>
          </w:p>
        </w:tc>
      </w:tr>
      <w:tr w:rsidR="00E55D61" w:rsidTr="001C0F95">
        <w:trPr>
          <w:trHeight w:val="2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Сравнение</w:t>
            </w:r>
          </w:p>
          <w:p w:rsidR="00E55D61" w:rsidRDefault="00E55D61" w:rsidP="001C0F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«ОПРЕДЕЛЕНИЯ УРОВНЯ УМСТВЕННОГО РАЗВИТИЯ Э.Ф. ЗАМБАЦЯВИЧЕНЕ»</w:t>
            </w:r>
          </w:p>
        </w:tc>
      </w:tr>
      <w:tr w:rsidR="00E55D61" w:rsidTr="001C0F95">
        <w:trPr>
          <w:trHeight w:val="56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Обобщение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D61" w:rsidRDefault="00E55D61" w:rsidP="001C0F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«ОПРЕДЕЛЕНИЯ УРОВНЯ УМСТВЕННОГО РАЗВИТИЯ Э.Ф. ЗАМБАЦЯВИЧЕНЕ»</w:t>
            </w:r>
          </w:p>
        </w:tc>
      </w:tr>
      <w:tr w:rsidR="00E55D61" w:rsidTr="001C0F95">
        <w:trPr>
          <w:trHeight w:val="46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</w:t>
            </w:r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</w:t>
            </w:r>
            <w:proofErr w:type="gramEnd"/>
          </w:p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</w:t>
            </w:r>
          </w:p>
          <w:p w:rsidR="00E55D61" w:rsidRDefault="00E55D61" w:rsidP="001C0F95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Наглядно-действенное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hd w:val="clear" w:color="auto" w:fill="FFFFFF"/>
              <w:spacing w:after="15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«ИЗУЧЕНИЕ СКОРОСТИ МЫШЛЕНИЯ»</w:t>
            </w:r>
          </w:p>
        </w:tc>
      </w:tr>
      <w:tr w:rsidR="00E55D61" w:rsidTr="001C0F95">
        <w:trPr>
          <w:trHeight w:val="23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Наглядно-образное</w:t>
            </w:r>
          </w:p>
          <w:p w:rsidR="00E55D61" w:rsidRDefault="00E55D61" w:rsidP="001C0F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МЕТОДИКА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НЕЛЕПИЦЫ»</w:t>
            </w:r>
          </w:p>
        </w:tc>
      </w:tr>
      <w:tr w:rsidR="00E55D61" w:rsidTr="001C0F95">
        <w:trPr>
          <w:trHeight w:val="700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Словесно-логическое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D61" w:rsidRDefault="00E55D61" w:rsidP="001C0F9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МЕТОДИКА «ПРОСТЫЕ АНАЛОГИИ»</w:t>
            </w:r>
          </w:p>
        </w:tc>
      </w:tr>
    </w:tbl>
    <w:p w:rsidR="00E55D61" w:rsidRDefault="00E55D61" w:rsidP="00E55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55D61" w:rsidRDefault="00E55D61" w:rsidP="00E55D6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В нашем случае испытуемому были предложены следующие методики: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sz w:val="24"/>
          <w:szCs w:val="24"/>
        </w:rPr>
        <w:t>Корректурная проба (исследование концентрации и устойчивости внимания) (Прил. 1,2)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sz w:val="24"/>
          <w:szCs w:val="24"/>
        </w:rPr>
        <w:t>10 слов (исследование кратковременной слуховой памяти) (Прил. 3)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sz w:val="24"/>
          <w:szCs w:val="24"/>
        </w:rPr>
        <w:t>Узнавание фигур А.Н.Бернштейна (исследование кратковременной зрительной памяти) (Прил. 4,5,6)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перцептивных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Л.А.Венгера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(Прил. 7,8)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«Исключение лишнего»  / «4-й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>
        <w:rPr>
          <w:rFonts w:ascii="Times New Roman" w:hAnsi="Times New Roman" w:cs="Times New Roman"/>
          <w:sz w:val="24"/>
          <w:szCs w:val="24"/>
        </w:rPr>
        <w:t>» (исследование способности к обобщению) (Прил. 9,10)</w:t>
      </w:r>
    </w:p>
    <w:p w:rsidR="00E55D61" w:rsidRDefault="00E55D61" w:rsidP="00E55D6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«Карта наблюдений» (исследование эмоций, воли, увлечений  поведения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Т.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Д.Зинкевич-Евстигнеева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Л. А.Нисневич) (Прил. 11)</w:t>
      </w: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D61" w:rsidRDefault="00E55D61" w:rsidP="00E55D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D61" w:rsidRDefault="00E55D61" w:rsidP="00E55D61">
      <w:pPr>
        <w:spacing w:after="140" w:line="288" w:lineRule="auto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 xml:space="preserve">Обобщая наблюдения, можно сделать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вывод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о том, что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сенсорно-перцептивные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процессы у Ивана находятся на уровне ниже среднего. В частности Иван испытывает сложности в соотнесении форм и величин, не выделяет понятий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узкий-широкий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выше-ниже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дальше-ближе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Выделить правильно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предметы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объединенные одним признаком из множества других не может. Пространственно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ориентироваться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способен, но относительно себя правильно назвать пространственные направления затрудняется.</w:t>
      </w:r>
    </w:p>
    <w:p w:rsidR="00E55D61" w:rsidRDefault="00E55D61" w:rsidP="00E55D61">
      <w:pPr>
        <w:spacing w:after="140" w:line="288" w:lineRule="auto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>Концентрация, устойчивость и переключаемость внимания на уровне ниже среднего. Ивану очень сложно сконцентрироваться на задании, его отвлекает малейший шорох, на который он мгновенно переключается и задание приходится повторять. Память кратковременная - стихи, тексты не запоминает, по методике «10 слов» не смог воспроизвести ни одного слова через час. Мышление наглядно-действенное, причинно-следственные связи устанавливает с трудом и не всегда.</w:t>
      </w:r>
    </w:p>
    <w:p w:rsidR="00E55D61" w:rsidRDefault="00E55D61" w:rsidP="00E55D61">
      <w:pPr>
        <w:spacing w:after="140" w:line="288" w:lineRule="auto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 xml:space="preserve">Речь развита очень плохо, словарный запас скудный, большие проблемы с произношением, применением слов. Пересказ недоступен. Творческих проявлений не наблюдается, к внешности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индифферентный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чувство неполноценности отсутствует.</w:t>
      </w:r>
    </w:p>
    <w:p w:rsidR="00E55D61" w:rsidRDefault="00E55D61" w:rsidP="00E55D61">
      <w:pPr>
        <w:spacing w:after="140" w:line="288" w:lineRule="auto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ab/>
        <w:t xml:space="preserve">Ребенок достаточно эмоционален, часто проявляет негативизм, особенно на просьбы взрослых. Достаточно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тревожен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действия всегда суетливы, физически напряжен. Мотивация к учебной и трудовой деятельности низкая, выполняет задания только потому, что это требуют. Постоянно отвлекается, от процесса труда удовольствие не получает. Доводит дело до конца лишь под руководством и контролем взрослого, либо если это его очень заинтересовало.</w:t>
      </w:r>
    </w:p>
    <w:p w:rsidR="00E55D61" w:rsidRDefault="00E55D61" w:rsidP="00E55D61">
      <w:pPr>
        <w:spacing w:after="140" w:line="288" w:lineRule="auto"/>
        <w:ind w:firstLine="709"/>
        <w:jc w:val="both"/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ab/>
        <w:t>Сильно нарушена мелкая моторика, кисть и плечевой пояс в постоянном тонусе, наблюдается тремор. Карандаш держит неправильно, силу нажима не контролирует, начертания букв и цифр сильно искажены. Крупная моторика развита плохо. Мимика скудная, верхняя треть лица практически неподвижна. Навыки самообслуживания и социально-бытовой ориентировки развиты на достаточном уровне.</w:t>
      </w:r>
    </w:p>
    <w:p w:rsidR="00E55D61" w:rsidRDefault="00E55D61" w:rsidP="00E55D61">
      <w:pPr>
        <w:jc w:val="both"/>
      </w:pPr>
      <w:r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ab/>
        <w:t xml:space="preserve">Тем не менее, обращенную речь Иван воспринимает, отклонения от нормы отмечены не во всех областях и предположительно носят обратимый характер, поэтому мы можем сделать вывод, что у Ивана не умственная отсталость или олигофрения (которые имеют необратимый характер и нарушения во всех областях тотальны), а именно ЗПР. По этим же причинам мы можем предположить </w:t>
      </w:r>
      <w:r>
        <w:rPr>
          <w:rFonts w:ascii="Liberation Serif" w:hAnsi="Liberation Serif"/>
          <w:sz w:val="24"/>
          <w:szCs w:val="24"/>
        </w:rPr>
        <w:t>ОНР</w:t>
      </w:r>
      <w:proofErr w:type="gramStart"/>
      <w:r>
        <w:rPr>
          <w:rFonts w:ascii="Liberation Serif" w:hAnsi="Liberation Serif"/>
          <w:sz w:val="24"/>
          <w:szCs w:val="24"/>
        </w:rPr>
        <w:t xml:space="preserve"> ,</w:t>
      </w:r>
      <w:proofErr w:type="gramEnd"/>
      <w:r>
        <w:rPr>
          <w:rFonts w:ascii="Liberation Serif" w:hAnsi="Liberation Serif"/>
          <w:sz w:val="24"/>
          <w:szCs w:val="24"/>
        </w:rPr>
        <w:t xml:space="preserve"> т.к. при данном диагнозе почти всегда остаётся сохранным понимание вербального обращения, за исключением сенсорной алалии при нормативном интеллекте (которая встречается нечасто), а при СНР, вследствие разных причин, устойчиво наблюдается нарушение понимания обращённой речи в соответствии с возрастными нормативами.</w:t>
      </w:r>
    </w:p>
    <w:p w:rsidR="00720819" w:rsidRDefault="00720819"/>
    <w:sectPr w:rsidR="0072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  <w:lang w:eastAsia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E55D61"/>
    <w:rsid w:val="00720819"/>
    <w:rsid w:val="00E5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55D61"/>
    <w:pPr>
      <w:suppressLineNumbers/>
      <w:suppressAutoHyphens/>
    </w:pPr>
    <w:rPr>
      <w:rFonts w:ascii="Arial" w:eastAsia="Times New Roman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2678</Words>
  <Characters>15269</Characters>
  <Application>Microsoft Office Word</Application>
  <DocSecurity>0</DocSecurity>
  <Lines>127</Lines>
  <Paragraphs>35</Paragraphs>
  <ScaleCrop>false</ScaleCrop>
  <Company/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2025-08-25T03:22:00Z</dcterms:created>
  <dcterms:modified xsi:type="dcterms:W3CDTF">2025-08-25T03:22:00Z</dcterms:modified>
</cp:coreProperties>
</file>