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C4" w:rsidRPr="00337DC4" w:rsidRDefault="00337DC4" w:rsidP="00337D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37DC4">
        <w:t> </w:t>
      </w:r>
      <w:r w:rsidRPr="00337DC4">
        <w:rPr>
          <w:b/>
          <w:bCs/>
        </w:rPr>
        <w:t>Консолидированная финансовая отчетность</w:t>
      </w:r>
      <w:r w:rsidRPr="00337DC4">
        <w:t> – </w:t>
      </w:r>
      <w:hyperlink r:id="rId6" w:tooltip="Финансовая отчётность" w:history="1">
        <w:r w:rsidRPr="00337DC4">
          <w:rPr>
            <w:rStyle w:val="a4"/>
            <w:color w:val="auto"/>
            <w:u w:val="none"/>
          </w:rPr>
          <w:t>финансовая отчетность</w:t>
        </w:r>
      </w:hyperlink>
      <w:r w:rsidRPr="00337DC4">
        <w:t> группы взаимосвязанных организаций, рассматриваемых как единое целое.</w:t>
      </w:r>
      <w:r>
        <w:t xml:space="preserve"> </w:t>
      </w:r>
      <w:r w:rsidRPr="00337DC4">
        <w:t>Характеризует имущественное и финансовое положение группы на отчетную дату, а также финансовые результаты ее деятельности за </w:t>
      </w:r>
      <w:hyperlink r:id="rId7" w:tooltip="Отчётный период" w:history="1">
        <w:r w:rsidRPr="00337DC4">
          <w:rPr>
            <w:rStyle w:val="a4"/>
            <w:color w:val="auto"/>
            <w:u w:val="none"/>
          </w:rPr>
          <w:t>отчетный период</w:t>
        </w:r>
      </w:hyperlink>
      <w:r w:rsidRPr="00337DC4">
        <w:t>.</w:t>
      </w:r>
    </w:p>
    <w:p w:rsidR="00337DC4" w:rsidRPr="00337DC4" w:rsidRDefault="00337DC4" w:rsidP="00337D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37DC4">
        <w:t>Впервые консолидированная отчетность появилась в </w:t>
      </w:r>
      <w:hyperlink r:id="rId8" w:tooltip="1903 год" w:history="1">
        <w:r w:rsidRPr="00337DC4">
          <w:rPr>
            <w:rStyle w:val="a4"/>
            <w:color w:val="auto"/>
            <w:u w:val="none"/>
          </w:rPr>
          <w:t>1903 году</w:t>
        </w:r>
      </w:hyperlink>
      <w:r w:rsidRPr="00337DC4">
        <w:t> и сейчас ее составляют практически все </w:t>
      </w:r>
      <w:hyperlink r:id="rId9" w:tooltip="Холдинг" w:history="1">
        <w:r w:rsidRPr="00337DC4">
          <w:rPr>
            <w:rStyle w:val="a4"/>
            <w:color w:val="auto"/>
            <w:u w:val="none"/>
          </w:rPr>
          <w:t>холдинги</w:t>
        </w:r>
      </w:hyperlink>
      <w:r w:rsidRPr="00337DC4">
        <w:t> и группы компаний. Консолидированная финансовая отчетность состоит из консолидированного </w:t>
      </w:r>
      <w:hyperlink r:id="rId10" w:tooltip="Бухгалтерский баланс" w:history="1">
        <w:r w:rsidRPr="00337DC4">
          <w:rPr>
            <w:rStyle w:val="a4"/>
            <w:color w:val="auto"/>
            <w:u w:val="none"/>
          </w:rPr>
          <w:t>бухгалтерского баланса</w:t>
        </w:r>
      </w:hyperlink>
      <w:r w:rsidRPr="00337DC4">
        <w:t>, </w:t>
      </w:r>
      <w:hyperlink r:id="rId11" w:tooltip="Отчёт о прибылях и убытках" w:history="1">
        <w:r w:rsidRPr="00337DC4">
          <w:rPr>
            <w:rStyle w:val="a4"/>
            <w:color w:val="auto"/>
            <w:u w:val="none"/>
          </w:rPr>
          <w:t>отчета о финансовых результатах</w:t>
        </w:r>
      </w:hyperlink>
      <w:r w:rsidRPr="00337DC4">
        <w:t>, </w:t>
      </w:r>
      <w:hyperlink r:id="rId12" w:tooltip="Отчёт об изменениях капитала" w:history="1">
        <w:r w:rsidRPr="00337DC4">
          <w:rPr>
            <w:rStyle w:val="a4"/>
            <w:color w:val="auto"/>
            <w:u w:val="none"/>
          </w:rPr>
          <w:t>отчета об изменении капитала</w:t>
        </w:r>
      </w:hyperlink>
      <w:r w:rsidRPr="00337DC4">
        <w:t>, </w:t>
      </w:r>
      <w:hyperlink r:id="rId13" w:tooltip="Отчёт о движении денежных средств" w:history="1">
        <w:r w:rsidRPr="00337DC4">
          <w:rPr>
            <w:rStyle w:val="a4"/>
            <w:color w:val="auto"/>
            <w:u w:val="none"/>
          </w:rPr>
          <w:t>отчета о движении денежных средств</w:t>
        </w:r>
      </w:hyperlink>
      <w:r w:rsidRPr="00337DC4">
        <w:t>, а также примечаний к ним.</w:t>
      </w:r>
    </w:p>
    <w:p w:rsidR="00337DC4" w:rsidRPr="00337DC4" w:rsidRDefault="00337DC4" w:rsidP="00337D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37DC4">
        <w:t xml:space="preserve">Существует ряд методик проведения консолидации, которые предусматривают сбор и обработку большого объема информации. </w:t>
      </w:r>
      <w:proofErr w:type="gramStart"/>
      <w:r w:rsidRPr="00337DC4">
        <w:t>Выбор методики проведения консолидации зависит от доли владения компанией (</w:t>
      </w:r>
      <w:hyperlink r:id="rId14" w:tooltip="Дочернее общество" w:history="1">
        <w:r w:rsidRPr="00337DC4">
          <w:rPr>
            <w:rStyle w:val="a4"/>
            <w:color w:val="auto"/>
            <w:u w:val="none"/>
          </w:rPr>
          <w:t>дочерняя</w:t>
        </w:r>
      </w:hyperlink>
      <w:r w:rsidRPr="00337DC4">
        <w:t>, </w:t>
      </w:r>
      <w:hyperlink r:id="rId15" w:tooltip="Ассоциированная компания" w:history="1">
        <w:r w:rsidRPr="00337DC4">
          <w:rPr>
            <w:rStyle w:val="a4"/>
            <w:color w:val="auto"/>
            <w:u w:val="none"/>
          </w:rPr>
          <w:t>ассоциированная</w:t>
        </w:r>
      </w:hyperlink>
      <w:r w:rsidRPr="00337DC4">
        <w:t>, или же в компании просто вложены </w:t>
      </w:r>
      <w:hyperlink r:id="rId16" w:tooltip="Инвестиции" w:history="1">
        <w:r w:rsidRPr="00337DC4">
          <w:rPr>
            <w:rStyle w:val="a4"/>
            <w:color w:val="auto"/>
            <w:u w:val="none"/>
          </w:rPr>
          <w:t>инвестиции</w:t>
        </w:r>
      </w:hyperlink>
      <w:r w:rsidRPr="00337DC4">
        <w:t>, </w:t>
      </w:r>
      <w:hyperlink r:id="rId17" w:tooltip="Миноритарный акционер" w:history="1">
        <w:r w:rsidRPr="00337DC4">
          <w:rPr>
            <w:rStyle w:val="a4"/>
            <w:color w:val="auto"/>
            <w:u w:val="none"/>
          </w:rPr>
          <w:t>не дающие контроля</w:t>
        </w:r>
      </w:hyperlink>
      <w:r w:rsidRPr="00337DC4">
        <w:t>), и от характера группы компаний (между компаниями существуют инвестиционные или договорные отношения, или ими владеет одно лицо или группа лиц).</w:t>
      </w:r>
      <w:proofErr w:type="gramEnd"/>
      <w:r w:rsidRPr="00337DC4">
        <w:t xml:space="preserve"> Выбранная методика, в свою очередь, определяет суть, количество и характер консолидационных процедур. Процедура консолидации финансовых отчетов состоит из трех основных процессов: подготовки отчетности каждым отдельным предприятием группы, проведения корректировок и составления собственно консолидированной отчетности</w:t>
      </w:r>
      <w:r w:rsidR="00B81C97">
        <w:t>.</w:t>
      </w:r>
      <w:r w:rsidR="00B81C97" w:rsidRPr="00337DC4">
        <w:t xml:space="preserve"> </w:t>
      </w:r>
    </w:p>
    <w:p w:rsidR="00337DC4" w:rsidRPr="00337DC4" w:rsidRDefault="00337DC4" w:rsidP="00337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C4">
        <w:rPr>
          <w:rFonts w:ascii="Times New Roman" w:hAnsi="Times New Roman" w:cs="Times New Roman"/>
          <w:sz w:val="24"/>
          <w:szCs w:val="24"/>
        </w:rPr>
        <w:t>Перечень организаций, которые обязаны формировать консолидированную финансовую отчетность, содержится в ст. 2 закона от 27.07.2010 № 208-ФЗ. К ним относятся:</w:t>
      </w:r>
    </w:p>
    <w:p w:rsidR="00337DC4" w:rsidRPr="00B81C97" w:rsidRDefault="00337DC4" w:rsidP="00B81C97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97">
        <w:rPr>
          <w:rFonts w:ascii="Times New Roman" w:hAnsi="Times New Roman" w:cs="Times New Roman"/>
          <w:sz w:val="24"/>
          <w:szCs w:val="24"/>
        </w:rPr>
        <w:t>кредитные организации;</w:t>
      </w:r>
    </w:p>
    <w:p w:rsidR="00337DC4" w:rsidRPr="00B81C97" w:rsidRDefault="00337DC4" w:rsidP="00B81C97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97">
        <w:rPr>
          <w:rFonts w:ascii="Times New Roman" w:hAnsi="Times New Roman" w:cs="Times New Roman"/>
          <w:sz w:val="24"/>
          <w:szCs w:val="24"/>
        </w:rPr>
        <w:t xml:space="preserve">страховщики (за исключением </w:t>
      </w:r>
      <w:proofErr w:type="gramStart"/>
      <w:r w:rsidRPr="00B81C97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B81C97">
        <w:rPr>
          <w:rFonts w:ascii="Times New Roman" w:hAnsi="Times New Roman" w:cs="Times New Roman"/>
          <w:sz w:val="24"/>
          <w:szCs w:val="24"/>
        </w:rPr>
        <w:t xml:space="preserve"> только в ОМС);</w:t>
      </w:r>
    </w:p>
    <w:p w:rsidR="00337DC4" w:rsidRPr="00B81C97" w:rsidRDefault="00337DC4" w:rsidP="00B81C97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97">
        <w:rPr>
          <w:rFonts w:ascii="Times New Roman" w:hAnsi="Times New Roman" w:cs="Times New Roman"/>
          <w:sz w:val="24"/>
          <w:szCs w:val="24"/>
        </w:rPr>
        <w:t>негосударственные пенсионные фонды;</w:t>
      </w:r>
    </w:p>
    <w:p w:rsidR="00337DC4" w:rsidRPr="00B81C97" w:rsidRDefault="00337DC4" w:rsidP="00B81C97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97">
        <w:rPr>
          <w:rFonts w:ascii="Times New Roman" w:hAnsi="Times New Roman" w:cs="Times New Roman"/>
          <w:sz w:val="24"/>
          <w:szCs w:val="24"/>
        </w:rPr>
        <w:t xml:space="preserve">управляющие компании </w:t>
      </w:r>
      <w:proofErr w:type="gramStart"/>
      <w:r w:rsidRPr="00B81C97">
        <w:rPr>
          <w:rFonts w:ascii="Times New Roman" w:hAnsi="Times New Roman" w:cs="Times New Roman"/>
          <w:sz w:val="24"/>
          <w:szCs w:val="24"/>
        </w:rPr>
        <w:t>инвестиционных</w:t>
      </w:r>
      <w:proofErr w:type="gramEnd"/>
      <w:r w:rsidRPr="00B81C97">
        <w:rPr>
          <w:rFonts w:ascii="Times New Roman" w:hAnsi="Times New Roman" w:cs="Times New Roman"/>
          <w:sz w:val="24"/>
          <w:szCs w:val="24"/>
        </w:rPr>
        <w:t>, паевых инвестиционных и НПФ;</w:t>
      </w:r>
    </w:p>
    <w:p w:rsidR="00337DC4" w:rsidRPr="00B81C97" w:rsidRDefault="00337DC4" w:rsidP="00B81C97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97">
        <w:rPr>
          <w:rFonts w:ascii="Times New Roman" w:hAnsi="Times New Roman" w:cs="Times New Roman"/>
          <w:sz w:val="24"/>
          <w:szCs w:val="24"/>
        </w:rPr>
        <w:t>клиринговые организации;</w:t>
      </w:r>
    </w:p>
    <w:p w:rsidR="00337DC4" w:rsidRPr="00B81C97" w:rsidRDefault="00337DC4" w:rsidP="00B81C97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97">
        <w:rPr>
          <w:rFonts w:ascii="Times New Roman" w:hAnsi="Times New Roman" w:cs="Times New Roman"/>
          <w:sz w:val="24"/>
          <w:szCs w:val="24"/>
        </w:rPr>
        <w:t>федеральные государственные унитарные предприятия, которые содержатся в перечне к распоряжению Правительства от 27.10.2015 № 2176-р;</w:t>
      </w:r>
    </w:p>
    <w:p w:rsidR="00337DC4" w:rsidRPr="00B81C97" w:rsidRDefault="00337DC4" w:rsidP="00B81C97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97">
        <w:rPr>
          <w:rFonts w:ascii="Times New Roman" w:hAnsi="Times New Roman" w:cs="Times New Roman"/>
          <w:sz w:val="24"/>
          <w:szCs w:val="24"/>
        </w:rPr>
        <w:t>акционерные общества, акции которых находятся в федеральной собственности, и перечислены в распоряжении Правительства от 27.10.2015 № 2176-р;</w:t>
      </w:r>
    </w:p>
    <w:p w:rsidR="00337DC4" w:rsidRPr="00B81C97" w:rsidRDefault="00337DC4" w:rsidP="00B81C97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97">
        <w:rPr>
          <w:rFonts w:ascii="Times New Roman" w:hAnsi="Times New Roman" w:cs="Times New Roman"/>
          <w:sz w:val="24"/>
          <w:szCs w:val="24"/>
        </w:rPr>
        <w:t>организации, ценные бумаги которых торгуются на бирже (за исключением ипотечных брокеров и специализированных обществ);</w:t>
      </w:r>
    </w:p>
    <w:p w:rsidR="00337DC4" w:rsidRPr="00B81C97" w:rsidRDefault="00337DC4" w:rsidP="00B81C97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97">
        <w:rPr>
          <w:rFonts w:ascii="Times New Roman" w:hAnsi="Times New Roman" w:cs="Times New Roman"/>
          <w:sz w:val="24"/>
          <w:szCs w:val="24"/>
        </w:rPr>
        <w:lastRenderedPageBreak/>
        <w:t>юридические лица, требование о составлении консолидированной отчетности которыми закреплено отдельными федеральными законами или учредительными документами.</w:t>
      </w:r>
    </w:p>
    <w:p w:rsidR="00636B47" w:rsidRPr="00337DC4" w:rsidRDefault="00337DC4" w:rsidP="00337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C4">
        <w:rPr>
          <w:rFonts w:ascii="Times New Roman" w:hAnsi="Times New Roman" w:cs="Times New Roman"/>
          <w:sz w:val="24"/>
          <w:szCs w:val="24"/>
        </w:rPr>
        <w:t>Также формирование консолидированной отчетности может осуществляться добровольно, например, для предоставления инвесторам или в управленческих целях для оценки финансового положения всего холдинга.</w:t>
      </w:r>
    </w:p>
    <w:p w:rsidR="00337DC4" w:rsidRPr="00337DC4" w:rsidRDefault="00337DC4" w:rsidP="00337D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Материнская компания в большинстве случаев обязана предоставлять консолидированную отчетность акционерам и различным государственным органам. Исключением может быть случай, когда материнская компания сама является дочерним предприятием, находящимся в полной собственности другого предприятия.</w:t>
      </w:r>
    </w:p>
    <w:p w:rsidR="00337DC4" w:rsidRPr="00337DC4" w:rsidRDefault="00337DC4" w:rsidP="00337D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консолидированной финансовой отчетности обычно </w:t>
      </w:r>
      <w:hyperlink r:id="rId18" w:tooltip="Раскрытие информации" w:history="1">
        <w:r w:rsidRPr="00337D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раскрывается</w:t>
        </w:r>
      </w:hyperlink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следующая информация:</w:t>
      </w:r>
    </w:p>
    <w:p w:rsidR="00337DC4" w:rsidRPr="00337DC4" w:rsidRDefault="00337DC4" w:rsidP="00473265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отношений между материнским и дочерним предприятиями;</w:t>
      </w:r>
    </w:p>
    <w:p w:rsidR="00337DC4" w:rsidRPr="00337DC4" w:rsidRDefault="00337DC4" w:rsidP="00473265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</w:t>
      </w:r>
      <w:proofErr w:type="gramStart"/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инвестор, имеющий половину или даже большее количество акций компании, в которую была произведена инвестиция, не имеет контроля над ней;</w:t>
      </w:r>
    </w:p>
    <w:p w:rsidR="00337DC4" w:rsidRPr="00337DC4" w:rsidRDefault="00337DC4" w:rsidP="00473265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отчетного периода, на которую дочернее предприятие готовит свою финансовую отчетность; если даты составления отчетности не совпадают — причины использования различных дат или периодов;</w:t>
      </w:r>
    </w:p>
    <w:p w:rsidR="00337DC4" w:rsidRPr="00337DC4" w:rsidRDefault="00337DC4" w:rsidP="00473265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и степень каких-либо существенных ограничений, </w:t>
      </w:r>
      <w:proofErr w:type="gramStart"/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касающиеся</w:t>
      </w:r>
      <w:proofErr w:type="gramEnd"/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дочерних предприятий;</w:t>
      </w:r>
    </w:p>
    <w:p w:rsidR="00337DC4" w:rsidRPr="00337DC4" w:rsidRDefault="00337DC4" w:rsidP="00473265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утери контроля над дочерним предприятием.</w:t>
      </w:r>
    </w:p>
    <w:p w:rsidR="00337DC4" w:rsidRPr="00337DC4" w:rsidRDefault="00337DC4" w:rsidP="00AE5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C4">
        <w:rPr>
          <w:rFonts w:ascii="Times New Roman" w:hAnsi="Times New Roman" w:cs="Times New Roman"/>
          <w:sz w:val="24"/>
          <w:szCs w:val="24"/>
        </w:rPr>
        <w:t>Методики консолидации предусматривают сбор и обработ</w:t>
      </w:r>
      <w:r w:rsidR="00473265">
        <w:rPr>
          <w:rFonts w:ascii="Times New Roman" w:hAnsi="Times New Roman" w:cs="Times New Roman"/>
          <w:sz w:val="24"/>
          <w:szCs w:val="24"/>
        </w:rPr>
        <w:t>ку большого объема информации</w:t>
      </w:r>
      <w:r w:rsidRPr="00337DC4">
        <w:rPr>
          <w:rFonts w:ascii="Times New Roman" w:hAnsi="Times New Roman" w:cs="Times New Roman"/>
          <w:sz w:val="24"/>
          <w:szCs w:val="24"/>
        </w:rPr>
        <w:t>. Выбор методики проведения консолидации зависит от доли владения компанией (дочерняя, ассоциированная, или же в компанию просто вложены инвестиции, не дающие контроля), и от характера группы компаний (между компаниями существуют инвестиционные или договорные отношения, или ими владеет одно лицо или группа лиц). Выбранная методика, в свою очередь, определяет суть, количество и характер кон</w:t>
      </w:r>
      <w:r w:rsidR="00473265">
        <w:rPr>
          <w:rFonts w:ascii="Times New Roman" w:hAnsi="Times New Roman" w:cs="Times New Roman"/>
          <w:sz w:val="24"/>
          <w:szCs w:val="24"/>
        </w:rPr>
        <w:t>солидационных процедур</w:t>
      </w:r>
      <w:r w:rsidRPr="00337DC4">
        <w:rPr>
          <w:rFonts w:ascii="Times New Roman" w:hAnsi="Times New Roman" w:cs="Times New Roman"/>
          <w:sz w:val="24"/>
          <w:szCs w:val="24"/>
        </w:rPr>
        <w:t>.</w:t>
      </w:r>
    </w:p>
    <w:p w:rsidR="00337DC4" w:rsidRPr="00337DC4" w:rsidRDefault="00337DC4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процедура консолидации финансовых отчетов состоит из следующих этапов:</w:t>
      </w:r>
    </w:p>
    <w:p w:rsidR="00337DC4" w:rsidRPr="00337DC4" w:rsidRDefault="00337DC4" w:rsidP="00AE555B">
      <w:pPr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отчетов всеми предприятиями — участниками группы;</w:t>
      </w:r>
    </w:p>
    <w:p w:rsidR="00337DC4" w:rsidRPr="00337DC4" w:rsidRDefault="00337DC4" w:rsidP="00AE555B">
      <w:pPr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 — осуществления соответствующих корректировок в процессе консолидации;</w:t>
      </w:r>
    </w:p>
    <w:p w:rsidR="00337DC4" w:rsidRDefault="00337DC4" w:rsidP="00AE555B">
      <w:pPr>
        <w:numPr>
          <w:ilvl w:val="0"/>
          <w:numId w:val="10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D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представления консолидированных отчетов.</w:t>
      </w:r>
    </w:p>
    <w:p w:rsidR="0059262F" w:rsidRPr="0059262F" w:rsidRDefault="0059262F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составлению консолидированной финансовой отчетности содержатся в МСФО (IFRS) 10:</w:t>
      </w:r>
    </w:p>
    <w:p w:rsidR="0059262F" w:rsidRPr="0059262F" w:rsidRDefault="0059262F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отчетности </w:t>
      </w:r>
      <w:proofErr w:type="gramStart"/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дочерних</w:t>
      </w:r>
      <w:proofErr w:type="gramEnd"/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материнской компании </w:t>
      </w:r>
      <w:r w:rsid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одну отчетную дату и в соответствии с единой учетной политикой. Если у какой-либо организации из группы учетная политика отличается, то при формировании отчетности ее необходимо скорректировать под единые нормы.</w:t>
      </w:r>
    </w:p>
    <w:p w:rsidR="0059262F" w:rsidRPr="0059262F" w:rsidRDefault="0059262F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должны быть сопоставимы.</w:t>
      </w:r>
    </w:p>
    <w:p w:rsidR="0059262F" w:rsidRPr="0059262F" w:rsidRDefault="0059262F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должна содержать сравнительную информацию минимум за один календарный год предшествующий </w:t>
      </w:r>
      <w:proofErr w:type="gramStart"/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отчетному</w:t>
      </w:r>
      <w:proofErr w:type="gramEnd"/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62F" w:rsidRPr="0059262F" w:rsidRDefault="0059262F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консолидированная финансовая отчетность подлежит обязательной публикации и обязательному аудиту, заключение по итогам которого сдается и публикуется вместе с отчетностью.</w:t>
      </w:r>
    </w:p>
    <w:p w:rsidR="0059262F" w:rsidRPr="0059262F" w:rsidRDefault="0059262F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консолидированная отчетность российских организаций должна удовлетворять требованиям законов от 27.07.2010 № 208-ФЗ и от 06.12.2011 № 402-ФЗ, а именно составляться на русском языке и в российских рублях.</w:t>
      </w:r>
    </w:p>
    <w:p w:rsidR="0059262F" w:rsidRDefault="0059262F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r w:rsid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идические </w:t>
      </w:r>
      <w:r w:rsidRPr="005926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которые формируют консолидированную отчетность добровольно, вправе руководствоваться только требованиями международных стандартов.</w:t>
      </w:r>
    </w:p>
    <w:p w:rsidR="00AE555B" w:rsidRPr="00AE555B" w:rsidRDefault="00AE555B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консолидированной отчетности имеет значение степень контроля материнской организации. От нее зависит порядок формирования отчетности, так как для консолидации принцип контроля объекта инвестиций — ключевой.</w:t>
      </w:r>
    </w:p>
    <w:p w:rsidR="00AE555B" w:rsidRPr="00AE555B" w:rsidRDefault="00AE555B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контролирует объект инвестиций при одновременном выполнении следующих условий:</w:t>
      </w:r>
    </w:p>
    <w:p w:rsidR="00AE555B" w:rsidRPr="00AE555B" w:rsidRDefault="00AE555B" w:rsidP="00AE555B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полномочиями в отношении объекта инвестиций;</w:t>
      </w:r>
    </w:p>
    <w:p w:rsidR="00AE555B" w:rsidRPr="00AE555B" w:rsidRDefault="00AE555B" w:rsidP="00AE555B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рискует изменением доходов от участия в объекте инвестиций или имеет право на получение таких доходов;</w:t>
      </w:r>
    </w:p>
    <w:p w:rsidR="00AE555B" w:rsidRPr="00AE555B" w:rsidRDefault="00AE555B" w:rsidP="00AE555B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влиять на объект инвестиций для влияния на величину доходов инвестора.</w:t>
      </w:r>
    </w:p>
    <w:p w:rsidR="00AE555B" w:rsidRPr="00AE555B" w:rsidRDefault="00AE555B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по степени контроля, предприятия делятся </w:t>
      </w:r>
      <w:proofErr w:type="gramStart"/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555B" w:rsidRPr="00AE555B" w:rsidRDefault="00AE555B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Дочерние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материнская организация вправе использовать свои полномочия для контроля размера своего дохода, например, через голосующие акций, полученные управленческие функции и прочее.</w:t>
      </w:r>
    </w:p>
    <w:p w:rsidR="00AE555B" w:rsidRPr="00AE555B" w:rsidRDefault="00AE555B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Ассоциированные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такие компании материнская организация влияет прямо или косвенно, владея 20% голосующих акций.</w:t>
      </w:r>
    </w:p>
    <w:p w:rsidR="00AE555B" w:rsidRPr="00AE555B" w:rsidRDefault="00AE555B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предприятия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контроль в равной степени делят несколько организаций, а принятие важных решений требует единогласного их согласия.</w:t>
      </w:r>
    </w:p>
    <w:p w:rsidR="00AE555B" w:rsidRPr="00AE555B" w:rsidRDefault="00AE555B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формировании консолидированной отчетности материнской компании по МСФО организация должна руководствоваться положениями п. В86 МСФО (IFRS) 10, то есть:</w:t>
      </w:r>
    </w:p>
    <w:p w:rsidR="001D7EC4" w:rsidRPr="001D7EC4" w:rsidRDefault="001D7EC4" w:rsidP="001D7EC4">
      <w:pPr>
        <w:pStyle w:val="a7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статьи активов, обязательств, собственного капитала, доходов, расходов и денежных потоков материнской организации с соответствующими статьями ее дочерних организаций.</w:t>
      </w:r>
    </w:p>
    <w:p w:rsidR="001D7EC4" w:rsidRPr="001D7EC4" w:rsidRDefault="001D7EC4" w:rsidP="001D7EC4">
      <w:pPr>
        <w:pStyle w:val="a7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Исключать из отчетности инвестиции материнской компании в дочерние и доли капитала дочерних организаций, которые соответствуют материнской доле.</w:t>
      </w:r>
    </w:p>
    <w:p w:rsidR="00AE555B" w:rsidRPr="001D7EC4" w:rsidRDefault="001D7EC4" w:rsidP="001D7EC4">
      <w:pPr>
        <w:pStyle w:val="a7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Очищать отчетность от движения денежных средств, активов, обязательств и капитала внутри группы, а также внутрихолдинговой задолженности.</w:t>
      </w:r>
    </w:p>
    <w:p w:rsidR="00AE555B" w:rsidRPr="001D7EC4" w:rsidRDefault="00AE555B" w:rsidP="001D7EC4">
      <w:pPr>
        <w:pStyle w:val="a7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статьи активов, обязательств, собственного капитала, доходов, расходов и денежных потоков материнской организации с соответствующими статьями ее дочерних организаций.</w:t>
      </w:r>
    </w:p>
    <w:p w:rsidR="00AE555B" w:rsidRPr="001D7EC4" w:rsidRDefault="00AE555B" w:rsidP="001D7EC4">
      <w:pPr>
        <w:pStyle w:val="a7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Исключать из отчетности инвестиции материнской компании в дочерние и доли капитала дочерних организаций, которые соответствуют материнской доле.</w:t>
      </w:r>
    </w:p>
    <w:p w:rsidR="001D7EC4" w:rsidRDefault="00AE555B" w:rsidP="001D7EC4">
      <w:pPr>
        <w:pStyle w:val="a7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Очищать отчетность от движения денежных средств, активов, обязательств и капитала внутри группы, а также внутрихолдинговой задолженности.</w:t>
      </w:r>
    </w:p>
    <w:p w:rsidR="00AE555B" w:rsidRPr="001D7EC4" w:rsidRDefault="00AE555B" w:rsidP="001D7EC4">
      <w:pPr>
        <w:pStyle w:val="a7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инвестиции в дочернюю компанию, ее активы и обязательства по справедливой цене на день приобретения этой компании с последующим учетом в соответствии с единой учетной политикой холдинга.</w:t>
      </w:r>
    </w:p>
    <w:p w:rsidR="00AE555B" w:rsidRDefault="001D7EC4" w:rsidP="00AE5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порядок ее предоставления зафиксированы в ст. 4 закона от 27.07.2010 № 208-ФЗ:</w:t>
      </w:r>
    </w:p>
    <w:p w:rsidR="00B05EBD" w:rsidRDefault="001D7EC4" w:rsidP="001D7EC4">
      <w:pPr>
        <w:shd w:val="clear" w:color="auto" w:fill="FFFFFF"/>
        <w:spacing w:after="0" w:line="360" w:lineRule="auto"/>
        <w:ind w:firstLine="709"/>
        <w:jc w:val="both"/>
      </w:pPr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консолидированная отчетность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сдается в течение </w:t>
      </w:r>
      <w:r w:rsidRPr="001D7EC4">
        <w:rPr>
          <w:rFonts w:ascii="Times New Roman" w:eastAsia="Times New Roman" w:hAnsi="Times New Roman" w:cs="Times New Roman"/>
          <w:sz w:val="24"/>
          <w:szCs w:val="24"/>
          <w:lang w:eastAsia="ru-RU"/>
        </w:rPr>
        <w:t>120 дней после окончания отчетного года</w:t>
      </w:r>
      <w:r w:rsidR="00B05EB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Сдается:</w:t>
      </w:r>
      <w:r w:rsidRPr="001D7EC4">
        <w:t xml:space="preserve"> </w:t>
      </w:r>
    </w:p>
    <w:p w:rsidR="001D7EC4" w:rsidRPr="00B05EBD" w:rsidRDefault="001D7EC4" w:rsidP="00B05EBD">
      <w:pPr>
        <w:pStyle w:val="a7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Участникам, акционерам или собс</w:t>
      </w:r>
      <w:r w:rsidR="00B05E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твенникам имущества предприятия.</w:t>
      </w:r>
    </w:p>
    <w:p w:rsidR="001D7EC4" w:rsidRDefault="001D7EC4" w:rsidP="00B05EBD">
      <w:pPr>
        <w:pStyle w:val="a7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Кредитные, страховые и клиринговые организации, НПФ и управляющие компании фондов, головные организации банковских холдингов — в Банк России</w:t>
      </w:r>
    </w:p>
    <w:p w:rsidR="00B05EBD" w:rsidRPr="00B05EBD" w:rsidRDefault="00B05EBD" w:rsidP="00B05EBD">
      <w:pPr>
        <w:pStyle w:val="a7"/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5EBD" w:rsidRPr="00B0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5FE"/>
    <w:multiLevelType w:val="multilevel"/>
    <w:tmpl w:val="90AEF6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90754"/>
    <w:multiLevelType w:val="hybridMultilevel"/>
    <w:tmpl w:val="B72A604E"/>
    <w:lvl w:ilvl="0" w:tplc="48B8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7B528B"/>
    <w:multiLevelType w:val="multilevel"/>
    <w:tmpl w:val="AFB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07268"/>
    <w:multiLevelType w:val="hybridMultilevel"/>
    <w:tmpl w:val="9B103510"/>
    <w:lvl w:ilvl="0" w:tplc="48B8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5028D"/>
    <w:multiLevelType w:val="multilevel"/>
    <w:tmpl w:val="EEDC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30C5C"/>
    <w:multiLevelType w:val="multilevel"/>
    <w:tmpl w:val="8B0A77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E7875"/>
    <w:multiLevelType w:val="hybridMultilevel"/>
    <w:tmpl w:val="FAB6CE3C"/>
    <w:lvl w:ilvl="0" w:tplc="48B8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DB0756"/>
    <w:multiLevelType w:val="multilevel"/>
    <w:tmpl w:val="26AA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7754B"/>
    <w:multiLevelType w:val="multilevel"/>
    <w:tmpl w:val="2336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564CD"/>
    <w:multiLevelType w:val="multilevel"/>
    <w:tmpl w:val="B24E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422ADE"/>
    <w:multiLevelType w:val="multilevel"/>
    <w:tmpl w:val="961A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920CE"/>
    <w:multiLevelType w:val="multilevel"/>
    <w:tmpl w:val="4BCA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61BCC"/>
    <w:multiLevelType w:val="multilevel"/>
    <w:tmpl w:val="10585E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7E"/>
    <w:rsid w:val="001D7EC4"/>
    <w:rsid w:val="001E6A7E"/>
    <w:rsid w:val="00337DC4"/>
    <w:rsid w:val="00473265"/>
    <w:rsid w:val="0059262F"/>
    <w:rsid w:val="00636B47"/>
    <w:rsid w:val="00AE555B"/>
    <w:rsid w:val="00B05EBD"/>
    <w:rsid w:val="00B81C97"/>
    <w:rsid w:val="00E2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7DC4"/>
    <w:rPr>
      <w:color w:val="0000FF"/>
      <w:u w:val="single"/>
    </w:rPr>
  </w:style>
  <w:style w:type="character" w:customStyle="1" w:styleId="cite-bracket">
    <w:name w:val="cite-bracket"/>
    <w:basedOn w:val="a0"/>
    <w:rsid w:val="00337DC4"/>
  </w:style>
  <w:style w:type="character" w:customStyle="1" w:styleId="ts-">
    <w:name w:val="ts-переход"/>
    <w:basedOn w:val="a0"/>
    <w:rsid w:val="00337DC4"/>
  </w:style>
  <w:style w:type="character" w:customStyle="1" w:styleId="ts--icon">
    <w:name w:val="ts-переход-icon"/>
    <w:basedOn w:val="a0"/>
    <w:rsid w:val="00337DC4"/>
  </w:style>
  <w:style w:type="paragraph" w:styleId="a5">
    <w:name w:val="Balloon Text"/>
    <w:basedOn w:val="a"/>
    <w:link w:val="a6"/>
    <w:uiPriority w:val="99"/>
    <w:semiHidden/>
    <w:unhideWhenUsed/>
    <w:rsid w:val="003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D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7DC4"/>
    <w:rPr>
      <w:color w:val="0000FF"/>
      <w:u w:val="single"/>
    </w:rPr>
  </w:style>
  <w:style w:type="character" w:customStyle="1" w:styleId="cite-bracket">
    <w:name w:val="cite-bracket"/>
    <w:basedOn w:val="a0"/>
    <w:rsid w:val="00337DC4"/>
  </w:style>
  <w:style w:type="character" w:customStyle="1" w:styleId="ts-">
    <w:name w:val="ts-переход"/>
    <w:basedOn w:val="a0"/>
    <w:rsid w:val="00337DC4"/>
  </w:style>
  <w:style w:type="character" w:customStyle="1" w:styleId="ts--icon">
    <w:name w:val="ts-переход-icon"/>
    <w:basedOn w:val="a0"/>
    <w:rsid w:val="00337DC4"/>
  </w:style>
  <w:style w:type="paragraph" w:styleId="a5">
    <w:name w:val="Balloon Text"/>
    <w:basedOn w:val="a"/>
    <w:link w:val="a6"/>
    <w:uiPriority w:val="99"/>
    <w:semiHidden/>
    <w:unhideWhenUsed/>
    <w:rsid w:val="003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D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1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7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2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5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2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2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6020">
          <w:marLeft w:val="934"/>
          <w:marRight w:val="934"/>
          <w:marTop w:val="0"/>
          <w:marBottom w:val="0"/>
          <w:divBdr>
            <w:top w:val="none" w:sz="0" w:space="0" w:color="auto"/>
            <w:left w:val="single" w:sz="48" w:space="0" w:color="3366CC"/>
            <w:bottom w:val="none" w:sz="0" w:space="0" w:color="auto"/>
            <w:right w:val="none" w:sz="0" w:space="0" w:color="auto"/>
          </w:divBdr>
          <w:divsChild>
            <w:div w:id="9110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03_%D0%B3%D0%BE%D0%B4" TargetMode="External"/><Relationship Id="rId13" Type="http://schemas.openxmlformats.org/officeDocument/2006/relationships/hyperlink" Target="https://ru.wikipedia.org/wiki/%D0%9E%D1%82%D1%87%D1%91%D1%82_%D0%BE_%D0%B4%D0%B2%D0%B8%D0%B6%D0%B5%D0%BD%D0%B8%D0%B8_%D0%B4%D0%B5%D0%BD%D0%B5%D0%B6%D0%BD%D1%8B%D1%85_%D1%81%D1%80%D0%B5%D0%B4%D1%81%D1%82%D0%B2" TargetMode="External"/><Relationship Id="rId18" Type="http://schemas.openxmlformats.org/officeDocument/2006/relationships/hyperlink" Target="https://ru.wikipedia.org/wiki/%D0%A0%D0%B0%D1%81%D0%BA%D1%80%D1%8B%D1%82%D0%B8%D0%B5_%D0%B8%D0%BD%D1%84%D0%BE%D1%80%D0%BC%D0%B0%D1%86%D0%B8%D0%B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E%D1%82%D1%87%D1%91%D1%82%D0%BD%D1%8B%D0%B9_%D0%BF%D0%B5%D1%80%D0%B8%D0%BE%D0%B4" TargetMode="External"/><Relationship Id="rId12" Type="http://schemas.openxmlformats.org/officeDocument/2006/relationships/hyperlink" Target="https://ru.wikipedia.org/wiki/%D0%9E%D1%82%D1%87%D1%91%D1%82_%D0%BE%D0%B1_%D0%B8%D0%B7%D0%BC%D0%B5%D0%BD%D0%B5%D0%BD%D0%B8%D1%8F%D1%85_%D0%BA%D0%B0%D0%BF%D0%B8%D1%82%D0%B0%D0%BB%D0%B0" TargetMode="External"/><Relationship Id="rId17" Type="http://schemas.openxmlformats.org/officeDocument/2006/relationships/hyperlink" Target="https://ru.wikipedia.org/wiki/%D0%9C%D0%B8%D0%BD%D0%BE%D1%80%D0%B8%D1%82%D0%B0%D1%80%D0%BD%D1%8B%D0%B9_%D0%B0%D0%BA%D1%86%D0%B8%D0%BE%D0%BD%D0%B5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D%D0%B2%D0%B5%D1%81%D1%82%D0%B8%D1%86%D0%B8%D0%B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0%B8%D0%BD%D0%B0%D0%BD%D1%81%D0%BE%D0%B2%D0%B0%D1%8F_%D0%BE%D1%82%D1%87%D1%91%D1%82%D0%BD%D0%BE%D1%81%D1%82%D1%8C" TargetMode="External"/><Relationship Id="rId11" Type="http://schemas.openxmlformats.org/officeDocument/2006/relationships/hyperlink" Target="https://ru.wikipedia.org/wiki/%D0%9E%D1%82%D1%87%D1%91%D1%82_%D0%BE_%D0%BF%D1%80%D0%B8%D0%B1%D1%8B%D0%BB%D1%8F%D1%85_%D0%B8_%D1%83%D0%B1%D1%8B%D1%82%D0%BA%D0%B0%D1%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1%81%D1%81%D0%BE%D1%86%D0%B8%D0%B8%D1%80%D0%BE%D0%B2%D0%B0%D0%BD%D0%BD%D0%B0%D1%8F_%D0%BA%D0%BE%D0%BC%D0%BF%D0%B0%D0%BD%D0%B8%D1%8F" TargetMode="External"/><Relationship Id="rId10" Type="http://schemas.openxmlformats.org/officeDocument/2006/relationships/hyperlink" Target="https://ru.wikipedia.org/wiki/%D0%91%D1%83%D1%85%D0%B3%D0%B0%D0%BB%D1%82%D0%B5%D1%80%D1%81%D0%BA%D0%B8%D0%B9_%D0%B1%D0%B0%D0%BB%D0%B0%D0%BD%D1%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5%D0%BE%D0%BB%D0%B4%D0%B8%D0%BD%D0%B3" TargetMode="External"/><Relationship Id="rId14" Type="http://schemas.openxmlformats.org/officeDocument/2006/relationships/hyperlink" Target="https://ru.wikipedia.org/wiki/%D0%94%D0%BE%D1%87%D0%B5%D1%80%D0%BD%D0%B5%D0%B5_%D0%BE%D0%B1%D1%89%D0%B5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4</cp:revision>
  <dcterms:created xsi:type="dcterms:W3CDTF">2025-09-30T09:27:00Z</dcterms:created>
  <dcterms:modified xsi:type="dcterms:W3CDTF">2025-09-30T09:44:00Z</dcterms:modified>
</cp:coreProperties>
</file>