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5495"/>
        <w:gridCol w:w="5496"/>
        <w:gridCol w:w="5496"/>
      </w:tblGrid>
      <w:tr w:rsidR="00912701" w:rsidTr="00912701">
        <w:tc>
          <w:tcPr>
            <w:tcW w:w="5495" w:type="dxa"/>
          </w:tcPr>
          <w:p w:rsidR="00361646" w:rsidRDefault="00361646" w:rsidP="00361646">
            <w:pPr>
              <w:pStyle w:val="c0"/>
              <w:spacing w:before="0" w:beforeAutospacing="0" w:after="0" w:afterAutospacing="0"/>
              <w:jc w:val="both"/>
              <w:rPr>
                <w:rStyle w:val="c1"/>
              </w:rPr>
            </w:pPr>
            <w:r w:rsidRPr="00361646">
              <w:rPr>
                <w:rStyle w:val="c1"/>
                <w:b/>
              </w:rPr>
              <w:t>Причины отрицательного отношения к учению.</w:t>
            </w:r>
            <w:r>
              <w:rPr>
                <w:rStyle w:val="c1"/>
              </w:rPr>
              <w:t> </w:t>
            </w:r>
          </w:p>
          <w:p w:rsidR="00361646" w:rsidRDefault="00361646" w:rsidP="00361646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Объективные причины связаны с деятельностью самого учителя. Например:</w:t>
            </w:r>
          </w:p>
          <w:p w:rsidR="00361646" w:rsidRDefault="00361646" w:rsidP="00361646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- учебный материал не способствует поддержанию любознательности, не соответствует уровню умственного развития учащихся, уровню наличных знаний;</w:t>
            </w:r>
          </w:p>
          <w:p w:rsidR="00361646" w:rsidRDefault="00361646" w:rsidP="00361646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- приёмы и методы работы не соответствуют пробуждению активности и самостоятельности детей;</w:t>
            </w:r>
          </w:p>
          <w:p w:rsidR="00361646" w:rsidRDefault="00361646" w:rsidP="00361646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- средства побуждения не соответствуют причинам отрицательного отношения к учению.</w:t>
            </w:r>
          </w:p>
          <w:p w:rsidR="00912701" w:rsidRDefault="00912701"/>
          <w:p w:rsidR="00361646" w:rsidRDefault="00361646" w:rsidP="00361646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5"/>
              </w:rPr>
              <w:t>Для включения в совместную учебную деятельность </w:t>
            </w:r>
            <w:r>
              <w:rPr>
                <w:rStyle w:val="c1"/>
              </w:rPr>
              <w:t>младших школьников</w:t>
            </w:r>
            <w:r>
              <w:rPr>
                <w:rStyle w:val="c2"/>
              </w:rPr>
              <w:t> </w:t>
            </w:r>
            <w:r w:rsidRPr="00F16D9F">
              <w:rPr>
                <w:rStyle w:val="c2"/>
                <w:b/>
              </w:rPr>
              <w:t>игра</w:t>
            </w:r>
            <w:r>
              <w:rPr>
                <w:rStyle w:val="c2"/>
              </w:rPr>
              <w:t xml:space="preserve"> является одним из наиболее эффективных приемов.</w:t>
            </w:r>
          </w:p>
          <w:p w:rsidR="00361646" w:rsidRDefault="00F16D9F" w:rsidP="00F16D9F">
            <w:pPr>
              <w:pStyle w:val="c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590800" cy="2428875"/>
                  <wp:effectExtent l="19050" t="0" r="0" b="0"/>
                  <wp:docPr id="7" name="Рисунок 7" descr="C:\Users\User\Desktop\0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User\Desktop\0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588" r="94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428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16D9F" w:rsidRDefault="00F16D9F" w:rsidP="00F16D9F">
            <w:pPr>
              <w:pStyle w:val="c0"/>
              <w:spacing w:before="0" w:beforeAutospacing="0" w:after="0" w:afterAutospacing="0"/>
              <w:jc w:val="center"/>
              <w:rPr>
                <w:rStyle w:val="c1"/>
                <w:b/>
              </w:rPr>
            </w:pPr>
            <w:r w:rsidRPr="00F16D9F">
              <w:rPr>
                <w:rStyle w:val="c1"/>
                <w:b/>
              </w:rPr>
              <w:t>Педагогические методы и приёмы стимулирования и мотивации учения</w:t>
            </w:r>
          </w:p>
          <w:p w:rsidR="00F16D9F" w:rsidRPr="00F16D9F" w:rsidRDefault="00F16D9F" w:rsidP="00F16D9F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rPr>
                <w:rStyle w:val="c5"/>
              </w:rPr>
              <w:t>Для повышения мотивации учения целесообразно использование так называемых </w:t>
            </w:r>
            <w:r>
              <w:rPr>
                <w:rStyle w:val="c1"/>
              </w:rPr>
              <w:t>«контрактов» (индивидуальных и групповых договоров),</w:t>
            </w:r>
            <w:r>
              <w:rPr>
                <w:rStyle w:val="c2"/>
              </w:rPr>
              <w:t> заключаемых между учителем и учащимися.  </w:t>
            </w:r>
            <w:proofErr w:type="gramStart"/>
            <w:r>
              <w:rPr>
                <w:rStyle w:val="c2"/>
              </w:rPr>
              <w:t xml:space="preserve">В таком добровольном контракте соглашении (после совместного </w:t>
            </w:r>
            <w:proofErr w:type="gramEnd"/>
          </w:p>
        </w:tc>
        <w:tc>
          <w:tcPr>
            <w:tcW w:w="5496" w:type="dxa"/>
          </w:tcPr>
          <w:p w:rsidR="00F16D9F" w:rsidRDefault="00F16D9F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F16D9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обсуждения) фиксируется чёткое соотношение объёмов учебной работы, её качества и оценок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 xml:space="preserve"> (например, «линия времени»)</w:t>
            </w:r>
          </w:p>
          <w:p w:rsidR="00F16D9F" w:rsidRDefault="00F16D9F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 w:rsidRPr="00F16D9F">
              <w:rPr>
                <w:rStyle w:val="c5"/>
                <w:rFonts w:ascii="Times New Roman" w:hAnsi="Times New Roman" w:cs="Times New Roman"/>
                <w:sz w:val="24"/>
                <w:szCs w:val="24"/>
              </w:rPr>
              <w:t>Для появления интереса к изучаемому предмету необходимо </w:t>
            </w:r>
            <w:r w:rsidRPr="00F16D9F">
              <w:rPr>
                <w:rStyle w:val="c1"/>
                <w:rFonts w:ascii="Times New Roman" w:hAnsi="Times New Roman" w:cs="Times New Roman"/>
                <w:sz w:val="24"/>
                <w:szCs w:val="24"/>
              </w:rPr>
              <w:t>понимание нужности, важности, целесообразности изучения данного предмета</w:t>
            </w:r>
            <w:r w:rsidRPr="00F16D9F"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 в целом и отдельных его разделов, тем. Этому могут способствовать следующие приёмы</w:t>
            </w: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16D9F" w:rsidRDefault="00F16D9F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ОРАТОР,</w:t>
            </w:r>
          </w:p>
          <w:p w:rsidR="00F16D9F" w:rsidRDefault="00F16D9F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АВТОР,</w:t>
            </w:r>
          </w:p>
          <w:p w:rsidR="00F16D9F" w:rsidRDefault="00F16D9F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ФАНТАЗЕР,</w:t>
            </w:r>
          </w:p>
          <w:p w:rsidR="00F16D9F" w:rsidRDefault="00F16D9F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КУМИР,</w:t>
            </w:r>
          </w:p>
          <w:p w:rsidR="00F16D9F" w:rsidRDefault="00603D33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c2"/>
                <w:rFonts w:ascii="Times New Roman" w:hAnsi="Times New Roman" w:cs="Times New Roman"/>
                <w:sz w:val="24"/>
                <w:szCs w:val="24"/>
              </w:rPr>
              <w:t>- ПРОФИ</w:t>
            </w:r>
          </w:p>
          <w:p w:rsidR="00603D33" w:rsidRDefault="00603D33" w:rsidP="009F3627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5"/>
              </w:rPr>
              <w:t>Одна из составляющих мотивации – </w:t>
            </w:r>
            <w:r>
              <w:rPr>
                <w:rStyle w:val="c1"/>
              </w:rPr>
              <w:t>умение ставить цель, определять зону ближайшего развития</w:t>
            </w:r>
            <w:r>
              <w:rPr>
                <w:rStyle w:val="c2"/>
              </w:rPr>
              <w:t>. Цель, поставленная учителем, должна стать целью ученика. Для превращения цели в мотивы-цели большое значение имеет осознание учеником своих успехов, продвижения вперед. Для развития этих умений можно использовать следующие приёмы.</w:t>
            </w:r>
          </w:p>
          <w:p w:rsidR="00603D33" w:rsidRPr="009F3627" w:rsidRDefault="00603D33" w:rsidP="009F3627">
            <w:pPr>
              <w:pStyle w:val="c0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rStyle w:val="c2"/>
              </w:rPr>
              <w:t xml:space="preserve">В начале учебного года можно попросить ребят </w:t>
            </w:r>
            <w:r w:rsidRPr="009F3627">
              <w:rPr>
                <w:rStyle w:val="c2"/>
                <w:b/>
              </w:rPr>
              <w:t>ответить на ряд вопросов:</w:t>
            </w:r>
          </w:p>
          <w:p w:rsidR="00603D33" w:rsidRDefault="00603D33" w:rsidP="009F3627">
            <w:pPr>
              <w:pStyle w:val="c0"/>
              <w:spacing w:before="0" w:beforeAutospacing="0" w:after="0" w:afterAutospacing="0"/>
              <w:jc w:val="both"/>
            </w:pPr>
            <w:r w:rsidRPr="009F3627">
              <w:rPr>
                <w:rStyle w:val="c2"/>
                <w:b/>
              </w:rPr>
              <w:t>1.  </w:t>
            </w:r>
            <w:r w:rsidRPr="009F3627">
              <w:rPr>
                <w:rStyle w:val="c2"/>
              </w:rPr>
              <w:t>На что был похож</w:t>
            </w:r>
            <w:r w:rsidRPr="009F3627">
              <w:rPr>
                <w:rStyle w:val="c2"/>
                <w:b/>
              </w:rPr>
              <w:t xml:space="preserve"> </w:t>
            </w:r>
            <w:r>
              <w:rPr>
                <w:rStyle w:val="c2"/>
              </w:rPr>
              <w:t>прошлый учебный год?</w:t>
            </w:r>
          </w:p>
          <w:p w:rsidR="00603D33" w:rsidRDefault="00603D33" w:rsidP="009F3627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2. На что ты хочешь, чтобы он был похож в этом году?</w:t>
            </w:r>
          </w:p>
          <w:p w:rsidR="00603D33" w:rsidRDefault="00603D33" w:rsidP="009F3627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3. Что тебе нужно сделать для этого?</w:t>
            </w:r>
          </w:p>
          <w:p w:rsidR="00603D33" w:rsidRDefault="00603D33" w:rsidP="009F3627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>4. Какая нужна помощь?</w:t>
            </w:r>
          </w:p>
          <w:p w:rsidR="009F3627" w:rsidRDefault="009F3627" w:rsidP="009F3627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3"/>
              </w:rPr>
              <w:t>или</w:t>
            </w:r>
          </w:p>
          <w:p w:rsidR="009F3627" w:rsidRDefault="009F3627" w:rsidP="009F3627">
            <w:pPr>
              <w:pStyle w:val="c0"/>
              <w:spacing w:before="0" w:beforeAutospacing="0" w:after="0" w:afterAutospacing="0"/>
              <w:jc w:val="both"/>
            </w:pPr>
            <w:r w:rsidRPr="009F3627">
              <w:rPr>
                <w:rStyle w:val="c2"/>
                <w:b/>
              </w:rPr>
              <w:t>Образовательная стратегия</w:t>
            </w:r>
            <w:r>
              <w:rPr>
                <w:rStyle w:val="c2"/>
              </w:rPr>
              <w:t>.</w:t>
            </w:r>
          </w:p>
          <w:p w:rsidR="009F3627" w:rsidRDefault="009F3627" w:rsidP="009F3627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- Что ты сделал, чтобы написать эту работу на «5»?</w:t>
            </w:r>
          </w:p>
          <w:p w:rsidR="009F3627" w:rsidRDefault="009F3627" w:rsidP="009F3627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- Как ты готовился к диктанту, что позволило тебе написать его хорошо?</w:t>
            </w:r>
          </w:p>
          <w:p w:rsidR="009F3627" w:rsidRDefault="009F3627" w:rsidP="009F3627">
            <w:pPr>
              <w:pStyle w:val="c0"/>
              <w:spacing w:before="0" w:beforeAutospacing="0" w:after="0" w:afterAutospacing="0"/>
              <w:jc w:val="both"/>
            </w:pPr>
            <w:r>
              <w:rPr>
                <w:rStyle w:val="c2"/>
              </w:rPr>
              <w:t>Подобные рассказы помогают учащимся делиться успешными обучающими стратегиями.</w:t>
            </w:r>
          </w:p>
          <w:p w:rsidR="009F3627" w:rsidRDefault="009F3627" w:rsidP="009F3627">
            <w:pPr>
              <w:pStyle w:val="c0"/>
              <w:spacing w:before="0" w:beforeAutospacing="0" w:after="0" w:afterAutospacing="0"/>
              <w:jc w:val="both"/>
            </w:pPr>
          </w:p>
          <w:p w:rsidR="00F16D9F" w:rsidRDefault="00F16D9F" w:rsidP="00F16D9F">
            <w:pPr>
              <w:jc w:val="both"/>
              <w:rPr>
                <w:rStyle w:val="c2"/>
                <w:rFonts w:ascii="Times New Roman" w:hAnsi="Times New Roman" w:cs="Times New Roman"/>
                <w:sz w:val="24"/>
                <w:szCs w:val="24"/>
              </w:rPr>
            </w:pPr>
          </w:p>
          <w:p w:rsidR="00F16D9F" w:rsidRPr="00F16D9F" w:rsidRDefault="00F16D9F" w:rsidP="00F16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6D9F" w:rsidRPr="00F16D9F" w:rsidRDefault="00F16D9F" w:rsidP="00F16D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6" w:type="dxa"/>
          </w:tcPr>
          <w:p w:rsidR="00912701" w:rsidRDefault="00912701"/>
          <w:p w:rsidR="00912701" w:rsidRDefault="00912701"/>
          <w:p w:rsidR="00912701" w:rsidRDefault="00912701"/>
          <w:p w:rsidR="00912701" w:rsidRDefault="00912701"/>
          <w:p w:rsidR="00912701" w:rsidRDefault="00912701"/>
          <w:p w:rsidR="00912701" w:rsidRDefault="00912701"/>
          <w:p w:rsidR="00912701" w:rsidRDefault="00912701"/>
          <w:p w:rsidR="00912701" w:rsidRDefault="00912701"/>
          <w:p w:rsidR="00912701" w:rsidRDefault="00912701">
            <w:r>
              <w:rPr>
                <w:noProof/>
                <w:lang w:eastAsia="ru-RU"/>
              </w:rPr>
              <w:drawing>
                <wp:inline distT="0" distB="0" distL="0" distR="0">
                  <wp:extent cx="3312666" cy="5143500"/>
                  <wp:effectExtent l="19050" t="0" r="2034" b="0"/>
                  <wp:docPr id="1" name="Рисунок 1" descr="C:\Users\User\AppData\Local\Microsoft\Windows\Temporary Internet Files\Content.Word\motiv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Temporary Internet Files\Content.Word\motiv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2666" cy="514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12701" w:rsidRDefault="00912701"/>
          <w:p w:rsidR="00912701" w:rsidRDefault="00912701"/>
          <w:p w:rsidR="00BE5045" w:rsidRDefault="00BE5045"/>
        </w:tc>
      </w:tr>
      <w:tr w:rsidR="00912701" w:rsidTr="00912701">
        <w:tc>
          <w:tcPr>
            <w:tcW w:w="5495" w:type="dxa"/>
          </w:tcPr>
          <w:p w:rsidR="00BE5045" w:rsidRDefault="00BE5045" w:rsidP="00BE5045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rPr>
                <w:rStyle w:val="a7"/>
              </w:rPr>
              <w:lastRenderedPageBreak/>
              <w:t>Учебная мотивация</w:t>
            </w:r>
            <w:r>
              <w:t xml:space="preserve"> определяется как частный вид мотивации, включенный в определенную деятельность, – в данном случае деятельность учения, учебную деятельность.</w:t>
            </w:r>
          </w:p>
          <w:p w:rsidR="00BE5045" w:rsidRDefault="00BE5045" w:rsidP="00BE5045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Побудителем учебной деятельности является система мотивов, органично включающая в себя: познавательные потребности; цели; интересы; стремления; идеалы; мотивационные установки, которые придают ей активный и направленный характер, входят в структуру и определяют ее содержательно-смысловые особенности.</w:t>
            </w:r>
          </w:p>
          <w:p w:rsidR="00BE5045" w:rsidRDefault="00BE5045" w:rsidP="00BE5045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>Названная система мотивов образует учебную мотивацию, которая характеризуется как устойчивостью, так и динамичностью.</w:t>
            </w:r>
          </w:p>
          <w:p w:rsidR="00912701" w:rsidRDefault="00BE5045" w:rsidP="00BE5045">
            <w:pPr>
              <w:pStyle w:val="a6"/>
              <w:spacing w:before="0" w:beforeAutospacing="0" w:after="0" w:afterAutospacing="0" w:line="360" w:lineRule="auto"/>
              <w:jc w:val="both"/>
            </w:pPr>
            <w:r>
              <w:t xml:space="preserve">Доминирующие внутренние мотивы определяют устойчивость учебной мотивации, иерархию ее основных подструктур. Социальные мотивы обусловливают постоянную динамику вступающих в новые отношения друг с другом побуждений. </w:t>
            </w:r>
            <w:r w:rsidRPr="00361646">
              <w:t>А.К. Маркова</w:t>
            </w:r>
            <w:r>
              <w:t xml:space="preserve"> отмечает, что становление мотивации «есть не простое возрастание положительного или усугубление отрицательного отношения к учению, а стоящее за ним усложнение структуры мотивационной сферы, входящих в нее побуждений, появление новых, более зрелых, иногда противоречивых отношений между ними».</w:t>
            </w:r>
          </w:p>
        </w:tc>
        <w:tc>
          <w:tcPr>
            <w:tcW w:w="5496" w:type="dxa"/>
          </w:tcPr>
          <w:p w:rsidR="00361646" w:rsidRDefault="00361646" w:rsidP="00361646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933575" cy="2625591"/>
                  <wp:effectExtent l="19050" t="0" r="9525" b="0"/>
                  <wp:docPr id="2" name="Рисунок 5" descr="C:\Users\User\Desktop\00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Desktop\00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50392" t="4181" b="59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5297" cy="262792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646" w:rsidRDefault="00361646" w:rsidP="00361646"/>
          <w:p w:rsidR="00361646" w:rsidRPr="00361646" w:rsidRDefault="00361646" w:rsidP="00361646">
            <w:pPr>
              <w:jc w:val="both"/>
              <w:rPr>
                <w:rStyle w:val="a7"/>
                <w:rFonts w:ascii="Times New Roman" w:hAnsi="Times New Roman" w:cs="Times New Roman"/>
                <w:sz w:val="24"/>
                <w:szCs w:val="24"/>
              </w:rPr>
            </w:pPr>
            <w:r w:rsidRPr="00361646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Качества  мотивов могут быть:</w:t>
            </w:r>
          </w:p>
          <w:p w:rsidR="00361646" w:rsidRPr="00361646" w:rsidRDefault="00361646" w:rsidP="00361646">
            <w:pPr>
              <w:pStyle w:val="a9"/>
              <w:numPr>
                <w:ilvl w:val="0"/>
                <w:numId w:val="1"/>
              </w:numPr>
              <w:ind w:left="714" w:hanging="35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164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Содержательными</w:t>
            </w:r>
            <w:proofErr w:type="gramEnd"/>
            <w:r w:rsidRPr="00361646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361646">
              <w:rPr>
                <w:rFonts w:ascii="Times New Roman" w:hAnsi="Times New Roman" w:cs="Times New Roman"/>
                <w:sz w:val="24"/>
                <w:szCs w:val="24"/>
              </w:rPr>
              <w:t xml:space="preserve"> связанными с характером учебной деятельности (осознанность, самостоятельность, обобщенность, действенность, доминирование в общей структуре мотивации, степень распространения на несколько учебных предметов и др.);</w:t>
            </w:r>
          </w:p>
          <w:p w:rsidR="00361646" w:rsidRPr="00361646" w:rsidRDefault="00361646" w:rsidP="00361646">
            <w:pPr>
              <w:pStyle w:val="a6"/>
              <w:numPr>
                <w:ilvl w:val="0"/>
                <w:numId w:val="1"/>
              </w:numPr>
              <w:spacing w:before="0" w:beforeAutospacing="0" w:after="0" w:afterAutospacing="0"/>
              <w:ind w:left="714" w:hanging="357"/>
              <w:jc w:val="both"/>
            </w:pPr>
            <w:proofErr w:type="gramStart"/>
            <w:r w:rsidRPr="00361646">
              <w:rPr>
                <w:b/>
              </w:rPr>
              <w:t>Динамическими,</w:t>
            </w:r>
            <w:r w:rsidRPr="00361646">
              <w:t xml:space="preserve"> связанными с психофизиологическими особенностями ребенка (устойчивость мотива, его сила и выраженность, переключаемость с одного мотива на другой, эмоциональная окраска мотивов) и т. д.</w:t>
            </w:r>
            <w:proofErr w:type="gramEnd"/>
          </w:p>
          <w:p w:rsidR="00361646" w:rsidRDefault="00361646" w:rsidP="00361646">
            <w:pPr>
              <w:pStyle w:val="a6"/>
              <w:spacing w:before="0" w:beforeAutospacing="0" w:after="0" w:afterAutospacing="0"/>
              <w:jc w:val="both"/>
            </w:pPr>
          </w:p>
          <w:p w:rsidR="00912701" w:rsidRDefault="00361646" w:rsidP="00361646">
            <w:pPr>
              <w:pStyle w:val="a6"/>
              <w:spacing w:before="0" w:beforeAutospacing="0" w:after="0" w:afterAutospacing="0"/>
              <w:jc w:val="both"/>
            </w:pPr>
            <w:r w:rsidRPr="00361646">
              <w:t>Учебная мотивация позволяет развивающейся личности определить не только направление, но и способы реализации различных форм учебной деятельности, задействовать эмоционально-волевую сферу. Она выступает в качестве значимой многофакторной детерминации, обусловливающей специфику учебной ситуации в каждый временной интервал.</w:t>
            </w:r>
          </w:p>
        </w:tc>
        <w:tc>
          <w:tcPr>
            <w:tcW w:w="5496" w:type="dxa"/>
          </w:tcPr>
          <w:p w:rsidR="00361646" w:rsidRDefault="00361646" w:rsidP="00361646">
            <w:pPr>
              <w:pStyle w:val="a6"/>
              <w:spacing w:before="0" w:beforeAutospacing="0" w:after="0" w:afterAutospacing="0"/>
            </w:pPr>
            <w:r>
              <w:rPr>
                <w:rStyle w:val="a7"/>
              </w:rPr>
              <w:t>Как и любой другой вид, учебная мотивация определяется целым рядом специфических для той деятельности, в которую она включается, факторов:</w:t>
            </w:r>
          </w:p>
          <w:p w:rsidR="00361646" w:rsidRDefault="00361646" w:rsidP="0036164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характером образовательной системы;</w:t>
            </w:r>
          </w:p>
          <w:p w:rsidR="00361646" w:rsidRDefault="00361646" w:rsidP="0036164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</w:pPr>
            <w:r>
              <w:t>организацией педагогического процесса в образовательном учреждении;</w:t>
            </w:r>
          </w:p>
          <w:p w:rsidR="00361646" w:rsidRPr="00361646" w:rsidRDefault="00361646" w:rsidP="0036164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>
              <w:t xml:space="preserve">особенностями самого обучающегося (пол, возраст, уровень интеллектуального развития и способностей, уровень притязаний, самооценка, характер взаимодействия с другими учениками и т. </w:t>
            </w:r>
            <w:r w:rsidRPr="00361646">
              <w:t>д.);</w:t>
            </w:r>
          </w:p>
          <w:p w:rsidR="00361646" w:rsidRPr="00361646" w:rsidRDefault="00361646" w:rsidP="0036164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361646">
              <w:t xml:space="preserve">личностными особенностями учителя (преподавателя) и прежде всего системой его отношений к </w:t>
            </w:r>
            <w:proofErr w:type="gramStart"/>
            <w:r w:rsidRPr="00361646">
              <w:t>обучаемому</w:t>
            </w:r>
            <w:proofErr w:type="gramEnd"/>
            <w:r w:rsidRPr="00361646">
              <w:t>, к педагогической деятельности;</w:t>
            </w:r>
          </w:p>
          <w:p w:rsidR="00361646" w:rsidRPr="00361646" w:rsidRDefault="00361646" w:rsidP="00361646">
            <w:pPr>
              <w:pStyle w:val="a6"/>
              <w:numPr>
                <w:ilvl w:val="0"/>
                <w:numId w:val="3"/>
              </w:numPr>
              <w:spacing w:before="0" w:beforeAutospacing="0" w:after="0" w:afterAutospacing="0"/>
              <w:jc w:val="both"/>
            </w:pPr>
            <w:r w:rsidRPr="00361646">
              <w:t>спецификой учебного предмета.</w:t>
            </w:r>
          </w:p>
          <w:p w:rsidR="00361646" w:rsidRPr="00361646" w:rsidRDefault="00361646" w:rsidP="00361646">
            <w:pPr>
              <w:pStyle w:val="a6"/>
              <w:spacing w:before="0" w:beforeAutospacing="0" w:after="0" w:afterAutospacing="0"/>
              <w:jc w:val="both"/>
            </w:pPr>
            <w:r w:rsidRPr="00361646">
              <w:rPr>
                <w:rStyle w:val="a7"/>
              </w:rPr>
              <w:t>Функци</w:t>
            </w:r>
            <w:r>
              <w:rPr>
                <w:rStyle w:val="a7"/>
              </w:rPr>
              <w:t xml:space="preserve">и </w:t>
            </w:r>
            <w:r w:rsidRPr="00361646">
              <w:rPr>
                <w:rStyle w:val="a7"/>
              </w:rPr>
              <w:t xml:space="preserve"> учебных мотивов:</w:t>
            </w:r>
          </w:p>
          <w:p w:rsidR="00361646" w:rsidRPr="00361646" w:rsidRDefault="00361646" w:rsidP="00361646">
            <w:pPr>
              <w:pStyle w:val="a6"/>
              <w:spacing w:before="0" w:beforeAutospacing="0" w:after="0" w:afterAutospacing="0"/>
              <w:jc w:val="both"/>
            </w:pPr>
            <w:r>
              <w:t xml:space="preserve">- </w:t>
            </w:r>
            <w:r w:rsidRPr="00361646">
              <w:rPr>
                <w:rStyle w:val="a7"/>
              </w:rPr>
              <w:t>побуждающ</w:t>
            </w:r>
            <w:r>
              <w:rPr>
                <w:rStyle w:val="a7"/>
              </w:rPr>
              <w:t>ая</w:t>
            </w:r>
            <w:r w:rsidRPr="00361646">
              <w:rPr>
                <w:rStyle w:val="a7"/>
              </w:rPr>
              <w:t xml:space="preserve"> функци</w:t>
            </w:r>
            <w:r>
              <w:rPr>
                <w:rStyle w:val="a7"/>
              </w:rPr>
              <w:t>я</w:t>
            </w:r>
            <w:r w:rsidRPr="00361646">
              <w:rPr>
                <w:rStyle w:val="a7"/>
              </w:rPr>
              <w:t>, </w:t>
            </w:r>
            <w:r w:rsidRPr="00361646">
              <w:t>которая характеризует энергетику мотива, иными словами, мотив вызывает и обусловливает активность учащегося, его поведение и деятельность;</w:t>
            </w:r>
          </w:p>
          <w:p w:rsidR="00361646" w:rsidRPr="00361646" w:rsidRDefault="00361646" w:rsidP="00361646">
            <w:pPr>
              <w:pStyle w:val="a6"/>
              <w:spacing w:before="0" w:beforeAutospacing="0" w:after="0" w:afterAutospacing="0"/>
              <w:jc w:val="both"/>
            </w:pPr>
            <w:r>
              <w:t xml:space="preserve">- </w:t>
            </w:r>
            <w:r w:rsidRPr="00361646">
              <w:rPr>
                <w:rStyle w:val="a7"/>
              </w:rPr>
              <w:t>направляющ</w:t>
            </w:r>
            <w:r>
              <w:rPr>
                <w:rStyle w:val="a7"/>
              </w:rPr>
              <w:t>ая</w:t>
            </w:r>
            <w:r w:rsidRPr="00361646">
              <w:rPr>
                <w:rStyle w:val="a7"/>
              </w:rPr>
              <w:t xml:space="preserve"> функци</w:t>
            </w:r>
            <w:r>
              <w:rPr>
                <w:rStyle w:val="a7"/>
              </w:rPr>
              <w:t>я</w:t>
            </w:r>
            <w:r w:rsidRPr="00361646">
              <w:rPr>
                <w:rStyle w:val="a7"/>
              </w:rPr>
              <w:t>, </w:t>
            </w:r>
            <w:r w:rsidRPr="00361646">
              <w:t>которая отражает направленность энергии мотива на определенный объект, т. е. выбор и осуществление определенной линии поведения, поскольку личность учащегося всегда стремится к достижению конкретных познавательных целей. Направляющая функция тесно связана с устойчивостью мотива;</w:t>
            </w:r>
          </w:p>
          <w:p w:rsidR="00912701" w:rsidRDefault="00361646" w:rsidP="00361646">
            <w:pPr>
              <w:pStyle w:val="a6"/>
              <w:spacing w:before="0" w:beforeAutospacing="0" w:after="0" w:afterAutospacing="0"/>
              <w:jc w:val="both"/>
            </w:pPr>
            <w:r>
              <w:t xml:space="preserve">- </w:t>
            </w:r>
            <w:r w:rsidRPr="00361646">
              <w:rPr>
                <w:rStyle w:val="a7"/>
              </w:rPr>
              <w:t>регулирующ</w:t>
            </w:r>
            <w:r>
              <w:rPr>
                <w:rStyle w:val="a7"/>
              </w:rPr>
              <w:t>ая</w:t>
            </w:r>
            <w:r w:rsidRPr="00361646">
              <w:rPr>
                <w:rStyle w:val="a7"/>
              </w:rPr>
              <w:t xml:space="preserve"> функци</w:t>
            </w:r>
            <w:r>
              <w:rPr>
                <w:rStyle w:val="a7"/>
              </w:rPr>
              <w:t>я</w:t>
            </w:r>
            <w:r w:rsidRPr="00361646">
              <w:rPr>
                <w:rStyle w:val="a7"/>
              </w:rPr>
              <w:t>, </w:t>
            </w:r>
            <w:r w:rsidRPr="00361646">
              <w:t xml:space="preserve">суть которой состоит в том, что мотив предопределяет характер поведения и деятельности, от чего, в свою очередь, зависит реализация в поведении и деятельности учащегося либо узколичных (эгоистических), либо общественно значимых (альтруистических) потребностей. Реализация этой функции всегда связана с иерархией мотивов. </w:t>
            </w:r>
          </w:p>
        </w:tc>
      </w:tr>
    </w:tbl>
    <w:p w:rsidR="00135A89" w:rsidRDefault="00135A89" w:rsidP="009F3627"/>
    <w:sectPr w:rsidR="00135A89" w:rsidSect="00912701">
      <w:pgSz w:w="16839" w:h="11907" w:orient="landscape" w:code="9"/>
      <w:pgMar w:top="284" w:right="284" w:bottom="284" w:left="28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FCE"/>
    <w:multiLevelType w:val="hybridMultilevel"/>
    <w:tmpl w:val="1C6250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191263"/>
    <w:multiLevelType w:val="hybridMultilevel"/>
    <w:tmpl w:val="AC361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30434"/>
    <w:multiLevelType w:val="hybridMultilevel"/>
    <w:tmpl w:val="DA544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rawingGridVerticalSpacing w:val="381"/>
  <w:displayHorizontalDrawingGridEvery w:val="2"/>
  <w:characterSpacingControl w:val="doNotCompress"/>
  <w:compat/>
  <w:rsids>
    <w:rsidRoot w:val="00912701"/>
    <w:rsid w:val="000B460A"/>
    <w:rsid w:val="000F3D9D"/>
    <w:rsid w:val="00135A89"/>
    <w:rsid w:val="00154060"/>
    <w:rsid w:val="00361646"/>
    <w:rsid w:val="003B30BF"/>
    <w:rsid w:val="004B2502"/>
    <w:rsid w:val="00603D33"/>
    <w:rsid w:val="006613FC"/>
    <w:rsid w:val="006D1FD6"/>
    <w:rsid w:val="0086224C"/>
    <w:rsid w:val="00912701"/>
    <w:rsid w:val="009169AF"/>
    <w:rsid w:val="00950B22"/>
    <w:rsid w:val="00961BDE"/>
    <w:rsid w:val="00994C73"/>
    <w:rsid w:val="009B4AD9"/>
    <w:rsid w:val="009D2AA9"/>
    <w:rsid w:val="009F3627"/>
    <w:rsid w:val="009F6A83"/>
    <w:rsid w:val="00A543E0"/>
    <w:rsid w:val="00AD3F3E"/>
    <w:rsid w:val="00BC350C"/>
    <w:rsid w:val="00BE5045"/>
    <w:rsid w:val="00CA3C93"/>
    <w:rsid w:val="00D931FD"/>
    <w:rsid w:val="00E02085"/>
    <w:rsid w:val="00E45D46"/>
    <w:rsid w:val="00E93F6F"/>
    <w:rsid w:val="00EB711A"/>
    <w:rsid w:val="00EF48FF"/>
    <w:rsid w:val="00F02406"/>
    <w:rsid w:val="00F14F2F"/>
    <w:rsid w:val="00F16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2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12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12701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E50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BE5045"/>
    <w:rPr>
      <w:b/>
      <w:bCs/>
    </w:rPr>
  </w:style>
  <w:style w:type="character" w:styleId="a8">
    <w:name w:val="Hyperlink"/>
    <w:basedOn w:val="a0"/>
    <w:uiPriority w:val="99"/>
    <w:semiHidden/>
    <w:unhideWhenUsed/>
    <w:rsid w:val="00BE5045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361646"/>
    <w:pPr>
      <w:ind w:left="720"/>
      <w:contextualSpacing/>
    </w:pPr>
  </w:style>
  <w:style w:type="paragraph" w:customStyle="1" w:styleId="c0">
    <w:name w:val="c0"/>
    <w:basedOn w:val="a"/>
    <w:rsid w:val="0036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61646"/>
  </w:style>
  <w:style w:type="character" w:customStyle="1" w:styleId="c2">
    <w:name w:val="c2"/>
    <w:basedOn w:val="a0"/>
    <w:rsid w:val="00361646"/>
  </w:style>
  <w:style w:type="character" w:customStyle="1" w:styleId="c5">
    <w:name w:val="c5"/>
    <w:basedOn w:val="a0"/>
    <w:rsid w:val="00361646"/>
  </w:style>
  <w:style w:type="character" w:customStyle="1" w:styleId="c3">
    <w:name w:val="c3"/>
    <w:basedOn w:val="a0"/>
    <w:rsid w:val="009F362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6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2022-06-20T03:43:00Z</dcterms:created>
  <dcterms:modified xsi:type="dcterms:W3CDTF">2022-06-20T04:59:00Z</dcterms:modified>
</cp:coreProperties>
</file>