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83" w:rsidRPr="00AC629F" w:rsidRDefault="00967F83" w:rsidP="00967F83">
      <w:pPr>
        <w:spacing w:after="0" w:line="360" w:lineRule="auto"/>
        <w:ind w:left="-567" w:right="-426" w:firstLine="709"/>
        <w:jc w:val="center"/>
        <w:rPr>
          <w:rFonts w:ascii="Times New Roman" w:eastAsiaTheme="minorEastAsia" w:hAnsi="Times New Roman" w:cs="Times New Roman"/>
          <w:b/>
          <w:sz w:val="32"/>
        </w:rPr>
      </w:pPr>
      <w:r w:rsidRPr="00AC629F">
        <w:rPr>
          <w:rFonts w:ascii="Times New Roman" w:eastAsiaTheme="minorEastAsia" w:hAnsi="Times New Roman" w:cs="Times New Roman"/>
          <w:b/>
          <w:sz w:val="32"/>
        </w:rPr>
        <w:t>Оценка прочности соединений из алюминиевых сплавов</w:t>
      </w:r>
    </w:p>
    <w:p w:rsidR="00967F83" w:rsidRDefault="00967F83" w:rsidP="00967F83">
      <w:pPr>
        <w:spacing w:after="0" w:line="360" w:lineRule="auto"/>
        <w:ind w:left="-567" w:right="-426" w:firstLine="709"/>
        <w:jc w:val="center"/>
        <w:rPr>
          <w:rFonts w:ascii="Times New Roman" w:eastAsiaTheme="minorEastAsia" w:hAnsi="Times New Roman" w:cs="Times New Roman"/>
          <w:b/>
          <w:sz w:val="32"/>
        </w:rPr>
      </w:pP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Cs/>
          <w:sz w:val="28"/>
        </w:rPr>
        <w:t>Основным преимуществом соединений из алюминиевых сплавов</w:t>
      </w:r>
      <w:r>
        <w:rPr>
          <w:rFonts w:ascii="Times New Roman" w:eastAsiaTheme="minorEastAsia" w:hAnsi="Times New Roman" w:cs="Times New Roman"/>
          <w:sz w:val="28"/>
        </w:rPr>
        <w:t xml:space="preserve"> является </w:t>
      </w:r>
      <w:r w:rsidRPr="00AA1F20">
        <w:rPr>
          <w:rFonts w:ascii="Times New Roman" w:eastAsiaTheme="minorEastAsia" w:hAnsi="Times New Roman" w:cs="Times New Roman"/>
          <w:bCs/>
          <w:sz w:val="28"/>
        </w:rPr>
        <w:t>высокая удельная прочность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 xml:space="preserve">(отношение расчётного </w:t>
      </w:r>
      <w:r>
        <w:rPr>
          <w:rFonts w:ascii="Times New Roman" w:eastAsiaTheme="minorEastAsia" w:hAnsi="Times New Roman" w:cs="Times New Roman"/>
          <w:sz w:val="28"/>
        </w:rPr>
        <w:t>сопротивления к объёмной массе)</w:t>
      </w:r>
      <w:r w:rsidRPr="00AA1F20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Cs/>
          <w:sz w:val="28"/>
        </w:rPr>
        <w:t>Сохранение свойств при пониженной температуре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>(ударной вязкости) </w:t>
      </w:r>
      <w:r w:rsidRPr="00AA1F20">
        <w:rPr>
          <w:rFonts w:ascii="Times New Roman" w:eastAsiaTheme="minorEastAsia" w:hAnsi="Times New Roman" w:cs="Times New Roman"/>
          <w:bCs/>
          <w:sz w:val="28"/>
        </w:rPr>
        <w:t>обеспечивается явлением криогенного упрочнения</w:t>
      </w:r>
      <w:r w:rsidRPr="00AA1F20">
        <w:rPr>
          <w:rFonts w:ascii="Times New Roman" w:eastAsiaTheme="minorEastAsia" w:hAnsi="Times New Roman" w:cs="Times New Roman"/>
          <w:sz w:val="28"/>
        </w:rPr>
        <w:t xml:space="preserve">: при контакте с кислородом, водородом и гелием коэффициент прочности с понижением температуры становится больше. 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Cs/>
          <w:sz w:val="28"/>
        </w:rPr>
        <w:t>Коррозионная стойкость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>алюминиевых сплавов также является преимуществом, что позволяет эксплуатировать строительные объекты в коррозионных средах и сократить финансовые затраты на техническое обслуживание объектов.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sz w:val="28"/>
        </w:rPr>
        <w:t>Недостаток – низкий модуль упругости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Pr="00AA1F20">
        <w:rPr>
          <w:rFonts w:ascii="Times New Roman" w:eastAsiaTheme="minorEastAsia" w:hAnsi="Times New Roman" w:cs="Times New Roman"/>
          <w:sz w:val="28"/>
        </w:rPr>
        <w:t>( в</w:t>
      </w:r>
      <w:proofErr w:type="gramEnd"/>
      <w:r w:rsidRPr="00AA1F20">
        <w:rPr>
          <w:rFonts w:ascii="Times New Roman" w:eastAsiaTheme="minorEastAsia" w:hAnsi="Times New Roman" w:cs="Times New Roman"/>
          <w:sz w:val="28"/>
        </w:rPr>
        <w:t xml:space="preserve"> 3 раза ниже чем у стали), высокий коэффициент температурного расширения, высокая чувствительность к надрезу.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bCs/>
          <w:i/>
          <w:sz w:val="28"/>
        </w:rPr>
      </w:pPr>
      <w:r w:rsidRPr="00AA1F20">
        <w:rPr>
          <w:rFonts w:ascii="Times New Roman" w:eastAsiaTheme="minorEastAsia" w:hAnsi="Times New Roman" w:cs="Times New Roman"/>
          <w:bCs/>
          <w:i/>
          <w:sz w:val="28"/>
        </w:rPr>
        <w:t>Модуль упругости</w:t>
      </w:r>
      <w:r w:rsidRPr="00AA1F20">
        <w:rPr>
          <w:rFonts w:ascii="Times New Roman" w:eastAsiaTheme="minorEastAsia" w:hAnsi="Times New Roman" w:cs="Times New Roman"/>
          <w:i/>
          <w:sz w:val="28"/>
        </w:rPr>
        <w:t> — </w:t>
      </w:r>
      <w:r w:rsidRPr="00AA1F20">
        <w:rPr>
          <w:rFonts w:ascii="Times New Roman" w:eastAsiaTheme="minorEastAsia" w:hAnsi="Times New Roman" w:cs="Times New Roman"/>
          <w:bCs/>
          <w:i/>
          <w:sz w:val="28"/>
        </w:rPr>
        <w:t>физическая величина, характеризующая способность твёрдого тела (материала, вещества) сопротивляться упругой дефор</w:t>
      </w:r>
      <w:r>
        <w:rPr>
          <w:rFonts w:ascii="Times New Roman" w:eastAsiaTheme="minorEastAsia" w:hAnsi="Times New Roman" w:cs="Times New Roman"/>
          <w:bCs/>
          <w:i/>
          <w:sz w:val="28"/>
        </w:rPr>
        <w:t>мации при приложении к нему силы.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Соединения из алюминиевых сплавов требуют более тщательной подготовки к сварке, чем соединения из других материалов</w:t>
      </w:r>
      <w:r w:rsidRPr="00AA1F20"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Подготовка включает в себя несколько этапов</w:t>
      </w:r>
      <w:r w:rsidRPr="00AA1F20">
        <w:rPr>
          <w:rFonts w:ascii="Times New Roman" w:eastAsiaTheme="minorEastAsia" w:hAnsi="Times New Roman" w:cs="Times New Roman"/>
          <w:sz w:val="28"/>
        </w:rPr>
        <w:t>: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Очистка поверхности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 xml:space="preserve">от загрязнений: масел, грязи, краски, ржавчины. Это поможет избежать дефектов сварного шва. 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Обезжиривание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 xml:space="preserve">всех свариваемых деталей и присадочного материала с помощью любого подходящего растворителя.  </w:t>
      </w:r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Удаление окисной плёнки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>механическим или химическим методом. Окисная плёнка удаляется с помощью металлических щёток. </w:t>
      </w:r>
      <w:hyperlink r:id="rId4" w:tgtFrame="_blank" w:history="1">
        <w:r w:rsidRPr="00AA1F20">
          <w:rPr>
            <w:rFonts w:ascii="Times New Roman" w:eastAsiaTheme="minorEastAsia" w:hAnsi="Times New Roman" w:cs="Times New Roman"/>
            <w:sz w:val="28"/>
          </w:rPr>
          <w:t>2</w:t>
        </w:r>
      </w:hyperlink>
      <w:hyperlink r:id="rId5" w:tgtFrame="_blank" w:history="1">
        <w:r w:rsidRPr="00AA1F20">
          <w:rPr>
            <w:rFonts w:ascii="Times New Roman" w:eastAsiaTheme="minorEastAsia" w:hAnsi="Times New Roman" w:cs="Times New Roman"/>
            <w:sz w:val="28"/>
          </w:rPr>
          <w:t>4</w:t>
        </w:r>
      </w:hyperlink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Удаление влаги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>с помощью лёгкого предварительного прогрева. </w:t>
      </w:r>
      <w:hyperlink r:id="rId6" w:tgtFrame="_blank" w:history="1">
        <w:r w:rsidRPr="00AA1F20">
          <w:rPr>
            <w:rFonts w:ascii="Times New Roman" w:eastAsiaTheme="minorEastAsia" w:hAnsi="Times New Roman" w:cs="Times New Roman"/>
            <w:sz w:val="28"/>
          </w:rPr>
          <w:t>2</w:t>
        </w:r>
      </w:hyperlink>
    </w:p>
    <w:p w:rsidR="00967F83" w:rsidRPr="00AA1F20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Предварительный прогрев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AA1F20">
        <w:rPr>
          <w:rFonts w:ascii="Times New Roman" w:eastAsiaTheme="minorEastAsia" w:hAnsi="Times New Roman" w:cs="Times New Roman"/>
          <w:sz w:val="28"/>
        </w:rPr>
        <w:t xml:space="preserve">массивных деталей для снижения вероятности образования горячих трещин.  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A1F20">
        <w:rPr>
          <w:rFonts w:ascii="Times New Roman" w:eastAsiaTheme="minorEastAsia" w:hAnsi="Times New Roman" w:cs="Times New Roman"/>
          <w:b/>
          <w:bCs/>
          <w:sz w:val="28"/>
        </w:rPr>
        <w:t>Для плавного сопряжения элементов</w:t>
      </w:r>
      <w:r w:rsidRPr="00AA1F20">
        <w:rPr>
          <w:rFonts w:ascii="Times New Roman" w:eastAsiaTheme="minorEastAsia" w:hAnsi="Times New Roman" w:cs="Times New Roman"/>
          <w:sz w:val="28"/>
        </w:rPr>
        <w:t> перед сваркой рекомендуется выполнить разделку кромок деталей, то есть придать им нужную форму и угол скоса.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bCs/>
          <w:sz w:val="28"/>
        </w:rPr>
        <w:lastRenderedPageBreak/>
        <w:t xml:space="preserve">Рекомендуемые сплавы к ответственным изделиям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</w:rPr>
        <w:t>АМц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</w:rPr>
        <w:t>АМг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</w:rPr>
        <w:t>.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sz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</w:rPr>
        <w:t>Дюралюмины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не рекомендуются из-за снижения прочности в </w:t>
      </w:r>
      <w:proofErr w:type="spellStart"/>
      <w:r>
        <w:rPr>
          <w:rFonts w:ascii="Times New Roman" w:eastAsiaTheme="minorEastAsia" w:hAnsi="Times New Roman" w:cs="Times New Roman"/>
          <w:sz w:val="28"/>
        </w:rPr>
        <w:t>околошовной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зоне (треб ТО).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bCs/>
          <w:i/>
          <w:sz w:val="28"/>
        </w:rPr>
      </w:pPr>
      <w:proofErr w:type="spellStart"/>
      <w:r w:rsidRPr="00AA1F20">
        <w:rPr>
          <w:rFonts w:ascii="Times New Roman" w:eastAsiaTheme="minorEastAsia" w:hAnsi="Times New Roman" w:cs="Times New Roman"/>
          <w:i/>
          <w:sz w:val="28"/>
        </w:rPr>
        <w:t>Дюралюмины</w:t>
      </w:r>
      <w:proofErr w:type="spellEnd"/>
      <w:r w:rsidRPr="00AA1F20">
        <w:rPr>
          <w:rFonts w:ascii="Times New Roman" w:eastAsiaTheme="minorEastAsia" w:hAnsi="Times New Roman" w:cs="Times New Roman"/>
          <w:bCs/>
          <w:i/>
          <w:sz w:val="28"/>
        </w:rPr>
        <w:t xml:space="preserve"> — </w:t>
      </w:r>
      <w:r w:rsidRPr="00AA1F20">
        <w:rPr>
          <w:rFonts w:ascii="Times New Roman" w:eastAsiaTheme="minorEastAsia" w:hAnsi="Times New Roman" w:cs="Times New Roman"/>
          <w:i/>
          <w:sz w:val="28"/>
        </w:rPr>
        <w:t>собирательное обозначение группы высокопрочных сплавов на основе алюминия</w:t>
      </w:r>
      <w:r w:rsidRPr="00AA1F20">
        <w:rPr>
          <w:rFonts w:ascii="Times New Roman" w:eastAsiaTheme="minorEastAsia" w:hAnsi="Times New Roman" w:cs="Times New Roman"/>
          <w:bCs/>
          <w:i/>
          <w:sz w:val="28"/>
        </w:rPr>
        <w:t> с добавками меди, магния и марганца</w:t>
      </w:r>
      <w:r>
        <w:rPr>
          <w:rFonts w:ascii="Times New Roman" w:eastAsiaTheme="minorEastAsia" w:hAnsi="Times New Roman" w:cs="Times New Roman"/>
          <w:bCs/>
          <w:i/>
          <w:sz w:val="28"/>
        </w:rPr>
        <w:t>.</w:t>
      </w:r>
    </w:p>
    <w:p w:rsidR="00967F83" w:rsidRPr="0064261C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b/>
          <w:bCs/>
          <w:sz w:val="28"/>
        </w:rPr>
      </w:pPr>
      <w:r w:rsidRPr="0064261C">
        <w:rPr>
          <w:rFonts w:ascii="Times New Roman" w:eastAsiaTheme="minorEastAsia" w:hAnsi="Times New Roman" w:cs="Times New Roman"/>
          <w:b/>
          <w:bCs/>
          <w:sz w:val="28"/>
        </w:rPr>
        <w:t>Силумины (с кремнием) не рекомендуется из-за образования в сварном шве включений, которые являются концентраторами напряжений.</w:t>
      </w:r>
    </w:p>
    <w:p w:rsidR="00967F83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bCs/>
          <w:i/>
          <w:sz w:val="28"/>
        </w:rPr>
      </w:pPr>
      <w:r w:rsidRPr="0064261C">
        <w:rPr>
          <w:rFonts w:ascii="Times New Roman" w:eastAsiaTheme="minorEastAsia" w:hAnsi="Times New Roman" w:cs="Times New Roman"/>
          <w:bCs/>
          <w:i/>
          <w:sz w:val="28"/>
        </w:rPr>
        <w:t>Это связано с окислительной активностью алюминия и кремния, из-за которой при нагреве на поверхности соединяемых элементов образуется оксидный слой, мешающий соединению. Поэтому сварка силумина выполняется в аргоновой среде, которая предотвращает контакт сплава с атмосферным кислородом.</w:t>
      </w:r>
    </w:p>
    <w:p w:rsidR="00967F83" w:rsidRPr="0064261C" w:rsidRDefault="00967F83" w:rsidP="00967F83">
      <w:pPr>
        <w:spacing w:after="0" w:line="360" w:lineRule="auto"/>
        <w:ind w:left="-567" w:right="-426" w:firstLine="709"/>
        <w:jc w:val="both"/>
        <w:rPr>
          <w:rFonts w:ascii="Times New Roman" w:eastAsiaTheme="minorEastAsia" w:hAnsi="Times New Roman" w:cs="Times New Roman"/>
          <w:bCs/>
          <w:sz w:val="28"/>
        </w:rPr>
      </w:pPr>
      <w:r w:rsidRPr="0064261C">
        <w:rPr>
          <w:rFonts w:ascii="Times New Roman" w:eastAsiaTheme="minorEastAsia" w:hAnsi="Times New Roman" w:cs="Times New Roman"/>
          <w:bCs/>
          <w:sz w:val="28"/>
        </w:rPr>
        <w:t xml:space="preserve">Общее правило проектирования –принимать минимально необходимое количество и минимальные размеры сварных швов, соединение проводить в стык, </w:t>
      </w:r>
      <w:r w:rsidRPr="0064261C">
        <w:rPr>
          <w:rFonts w:ascii="Times New Roman" w:eastAsiaTheme="minorEastAsia" w:hAnsi="Times New Roman" w:cs="Times New Roman"/>
          <w:sz w:val="28"/>
        </w:rPr>
        <w:t>угловые сопряжения</w:t>
      </w:r>
      <w:r w:rsidRPr="0064261C">
        <w:rPr>
          <w:rFonts w:ascii="Times New Roman" w:eastAsiaTheme="minorEastAsia" w:hAnsi="Times New Roman" w:cs="Times New Roman"/>
          <w:bCs/>
          <w:sz w:val="28"/>
        </w:rPr>
        <w:t xml:space="preserve"> в крупногабаритных конструкциях не рекомендуется осуществлять через </w:t>
      </w:r>
      <w:proofErr w:type="spellStart"/>
      <w:r w:rsidRPr="0064261C">
        <w:rPr>
          <w:rFonts w:ascii="Times New Roman" w:eastAsiaTheme="minorEastAsia" w:hAnsi="Times New Roman" w:cs="Times New Roman"/>
          <w:bCs/>
          <w:sz w:val="28"/>
        </w:rPr>
        <w:t>тавры</w:t>
      </w:r>
      <w:proofErr w:type="spellEnd"/>
      <w:r w:rsidRPr="0064261C">
        <w:rPr>
          <w:rFonts w:ascii="Times New Roman" w:eastAsiaTheme="minorEastAsia" w:hAnsi="Times New Roman" w:cs="Times New Roman"/>
          <w:bCs/>
          <w:sz w:val="28"/>
        </w:rPr>
        <w:t>, уголки или профили с рёбрами и утолщениями с разделкой кромок под сварку, так как это увеличивает массу наплавленного металла</w:t>
      </w:r>
      <w:r>
        <w:rPr>
          <w:rFonts w:ascii="Times New Roman" w:eastAsiaTheme="minorEastAsia" w:hAnsi="Times New Roman" w:cs="Times New Roman"/>
          <w:bCs/>
          <w:sz w:val="28"/>
        </w:rPr>
        <w:t>.</w:t>
      </w:r>
    </w:p>
    <w:p w:rsidR="008B3328" w:rsidRDefault="008B3328">
      <w:bookmarkStart w:id="0" w:name="_GoBack"/>
      <w:bookmarkEnd w:id="0"/>
    </w:p>
    <w:sectPr w:rsidR="008B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E3"/>
    <w:rsid w:val="008B3328"/>
    <w:rsid w:val="00967F83"/>
    <w:rsid w:val="00B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2A8D-18A2-4BE9-A5F3-06F5A2D1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.ssau.ru/bitstream/Uchebnye-izdaniya/Osobennosti-svarki-legkih-konstrukcionnyh-materialov-97869/1/978-5-7883-1730-4.pdf" TargetMode="External"/><Relationship Id="rId5" Type="http://schemas.openxmlformats.org/officeDocument/2006/relationships/hyperlink" Target="https://kron-spb.com/stati/osobennosti-svarki-alyuminiya-i-ego-splavov/" TargetMode="External"/><Relationship Id="rId4" Type="http://schemas.openxmlformats.org/officeDocument/2006/relationships/hyperlink" Target="https://repo.ssau.ru/bitstream/Uchebnye-izdaniya/Osobennosti-svarki-legkih-konstrukcionnyh-materialov-97869/1/978-5-7883-1730-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</dc:creator>
  <cp:keywords/>
  <dc:description/>
  <cp:lastModifiedBy>Lenovo 3</cp:lastModifiedBy>
  <cp:revision>2</cp:revision>
  <dcterms:created xsi:type="dcterms:W3CDTF">2025-01-29T08:05:00Z</dcterms:created>
  <dcterms:modified xsi:type="dcterms:W3CDTF">2025-01-29T08:05:00Z</dcterms:modified>
</cp:coreProperties>
</file>