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9175E">
        <w:rPr>
          <w:rFonts w:ascii="Times New Roman" w:hAnsi="Times New Roman" w:cs="Times New Roman"/>
          <w:b/>
          <w:sz w:val="24"/>
          <w:szCs w:val="24"/>
        </w:rPr>
        <w:t>Стилистический приём: градация. Разновидности градаций.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5E">
        <w:rPr>
          <w:rFonts w:ascii="Times New Roman" w:hAnsi="Times New Roman" w:cs="Times New Roman"/>
          <w:sz w:val="24"/>
          <w:szCs w:val="24"/>
        </w:rPr>
        <w:t xml:space="preserve">            Изучение феномена градации занимает в современной лингвистике особое место. И это в первую очередь связано с тем, что градация является не столько собственно языковым явлением, сколько, по своей сути, отражением фундаментальных свойств человеческого мышления, имеет ярко выраженную логическую основу и зачастую носит ярко выраженный субъективный характер.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5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9175E">
        <w:rPr>
          <w:rFonts w:ascii="Times New Roman" w:hAnsi="Times New Roman" w:cs="Times New Roman"/>
          <w:b/>
          <w:sz w:val="24"/>
          <w:szCs w:val="24"/>
        </w:rPr>
        <w:t>Градаци</w:t>
      </w:r>
      <w:proofErr w:type="gramStart"/>
      <w:r w:rsidRPr="00A9175E">
        <w:rPr>
          <w:rFonts w:ascii="Times New Roman" w:hAnsi="Times New Roman" w:cs="Times New Roman"/>
          <w:b/>
          <w:sz w:val="24"/>
          <w:szCs w:val="24"/>
        </w:rPr>
        <w:t>я</w:t>
      </w:r>
      <w:r w:rsidRPr="00A9175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9175E">
        <w:rPr>
          <w:rFonts w:ascii="Times New Roman" w:hAnsi="Times New Roman" w:cs="Times New Roman"/>
          <w:sz w:val="24"/>
          <w:szCs w:val="24"/>
        </w:rPr>
        <w:t xml:space="preserve"> (от лат. </w:t>
      </w:r>
      <w:proofErr w:type="spellStart"/>
      <w:r w:rsidRPr="00A9175E">
        <w:rPr>
          <w:rFonts w:ascii="Times New Roman" w:hAnsi="Times New Roman" w:cs="Times New Roman"/>
          <w:sz w:val="24"/>
          <w:szCs w:val="24"/>
          <w:lang w:val="en-US"/>
        </w:rPr>
        <w:t>Gradatio</w:t>
      </w:r>
      <w:proofErr w:type="spellEnd"/>
      <w:r w:rsidRPr="00A9175E">
        <w:rPr>
          <w:rFonts w:ascii="Times New Roman" w:hAnsi="Times New Roman" w:cs="Times New Roman"/>
          <w:sz w:val="24"/>
          <w:szCs w:val="24"/>
        </w:rPr>
        <w:t xml:space="preserve">- постепенное усиление) стилистическая фигура, состоящая в таком расположении частей высказывания( слов, отрезков предложения) , при котором каждая последующая заключает в себе усиливающееся- </w:t>
      </w:r>
      <w:r w:rsidRPr="00A9175E">
        <w:rPr>
          <w:rFonts w:ascii="Times New Roman" w:hAnsi="Times New Roman" w:cs="Times New Roman"/>
          <w:b/>
          <w:sz w:val="24"/>
          <w:szCs w:val="24"/>
        </w:rPr>
        <w:t>климакс</w:t>
      </w:r>
      <w:r w:rsidRPr="00A9175E">
        <w:rPr>
          <w:rFonts w:ascii="Times New Roman" w:hAnsi="Times New Roman" w:cs="Times New Roman"/>
          <w:sz w:val="24"/>
          <w:szCs w:val="24"/>
        </w:rPr>
        <w:t xml:space="preserve"> (реже- уменьшающееся, </w:t>
      </w:r>
      <w:proofErr w:type="spellStart"/>
      <w:r w:rsidRPr="00A9175E">
        <w:rPr>
          <w:rFonts w:ascii="Times New Roman" w:hAnsi="Times New Roman" w:cs="Times New Roman"/>
          <w:b/>
          <w:sz w:val="24"/>
          <w:szCs w:val="24"/>
        </w:rPr>
        <w:t>антиклимакс</w:t>
      </w:r>
      <w:proofErr w:type="spellEnd"/>
      <w:r w:rsidRPr="00A9175E">
        <w:rPr>
          <w:rFonts w:ascii="Times New Roman" w:hAnsi="Times New Roman" w:cs="Times New Roman"/>
          <w:sz w:val="24"/>
          <w:szCs w:val="24"/>
        </w:rPr>
        <w:t>) смысловое или эмоционально- экспрессивное значение, благодаря чему создается нарастание (реже- ослабление) производимого ими впечатления.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75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9175E">
        <w:rPr>
          <w:rFonts w:ascii="Times New Roman" w:hAnsi="Times New Roman" w:cs="Times New Roman"/>
          <w:sz w:val="24"/>
          <w:szCs w:val="24"/>
          <w:u w:val="single"/>
        </w:rPr>
        <w:t>Градация восходяща</w:t>
      </w:r>
      <w:proofErr w:type="gramStart"/>
      <w:r w:rsidRPr="00A9175E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A9175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9175E">
        <w:rPr>
          <w:rFonts w:ascii="Times New Roman" w:hAnsi="Times New Roman" w:cs="Times New Roman"/>
          <w:sz w:val="24"/>
          <w:szCs w:val="24"/>
        </w:rPr>
        <w:t xml:space="preserve"> расположение слов в порядке усиливающегося значения. </w:t>
      </w:r>
      <w:r w:rsidRPr="00A9175E">
        <w:rPr>
          <w:rFonts w:ascii="Times New Roman" w:hAnsi="Times New Roman" w:cs="Times New Roman"/>
          <w:i/>
          <w:sz w:val="24"/>
          <w:szCs w:val="24"/>
        </w:rPr>
        <w:t>Пришел, увидел, победил. (Ю. Цезарь).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5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A9175E">
        <w:rPr>
          <w:rFonts w:ascii="Times New Roman" w:hAnsi="Times New Roman" w:cs="Times New Roman"/>
          <w:sz w:val="24"/>
          <w:szCs w:val="24"/>
          <w:u w:val="single"/>
        </w:rPr>
        <w:t>Градация нисходяща</w:t>
      </w:r>
      <w:proofErr w:type="gramStart"/>
      <w:r w:rsidRPr="00A9175E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A9175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9175E">
        <w:rPr>
          <w:rFonts w:ascii="Times New Roman" w:hAnsi="Times New Roman" w:cs="Times New Roman"/>
          <w:sz w:val="24"/>
          <w:szCs w:val="24"/>
        </w:rPr>
        <w:t xml:space="preserve"> расположение слов в порядке уменьшения значения.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917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Присягаю ленинградским ранам,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Первым разоренным очагам: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Не сломлюсь, не дрогну, не устану,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</w:t>
      </w:r>
      <w:r w:rsidRPr="00A917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 крупицы не прощу врагам.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О. </w:t>
      </w:r>
      <w:proofErr w:type="spell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Берггольц</w:t>
      </w:r>
      <w:proofErr w:type="spellEnd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градации является сложным многоаспектным феноменом, выражающим единство 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логического и лингвистического. 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Градация определяется как стилистический приём, то есть явление, способное иметь формальные характеристики (особая синтаксическая конструкция). 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Фёдорова М. В. отмечает: раньше исследователи выделяли три типа градаци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логический, риторический, семантический. Дополнительное изучение материала привело к выводу о том, что выделение семантического принципа нецелесообразно. 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настоящее время выделяют два основные типа градаци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градацию </w:t>
      </w:r>
      <w:r w:rsidRPr="00A91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логическую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91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риторическую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Оба типа отражают лексик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синтаксическую реализацию чаще всего общеязыковых средств, но между этими типами есть существенные различия.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1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Риторическая градация 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опираться на любую семантическую базу при изменении объема понятия или с приведением к общему объему более частных, видовых понятий, далеко не всегда поддающихся объединению/ обобщению по общим нормам русского языка. Из числа обычно 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приводимых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 свидетельствует следующий пример: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жалею, не зову, не плачу…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С.Есенин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Здесь общее понятие «утрата» складывается из более частных: «сожаление об утрате» + «мысль о возможности зова для возвращения утраченного»+ «сознание невозвратимости утраченного и бесплодного зова».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общенародном фонде лексики слова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жалеть, звать, плакать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к разным лексико-семантическим группам.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Одни и те же лексические средства могут участвовать в создании разных текстов: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Перед Доном,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темным и зловещим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Средь ночных полей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Слышал я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 голос сердцем вещим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В криках лебедей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(А. Блок);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Но: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Темная, теплая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ласка ночная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Сердцу усталому отдых приносит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еизв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автор)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общенародном плане слова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конструктор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творец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наши дни могут семантически соприкасаться, но в связь со словом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чародей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не вступают. Однако в поэтической речи такая связь возможна, если автор хочет показать своего «злого гения»: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И любым проявленьем мне жизнь намекал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а-</w:t>
      </w:r>
      <w:proofErr w:type="gramEnd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владей!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И прощала мои молодые чудачества.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Только некий незримый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конструктор, творец, чародей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Перечеркивал все, что намети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л-</w:t>
      </w:r>
      <w:proofErr w:type="gramEnd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наивный я!- начисто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(Ю.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Могутин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Во всех трех приведенных текста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риторический климакс с усилением экспрессивного качества текста.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Риторический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антиклимакс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Звериный, чужой, неприглядный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мир,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О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н-</w:t>
      </w:r>
      <w:proofErr w:type="gramEnd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против тебя. О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н-</w:t>
      </w:r>
      <w:proofErr w:type="gramEnd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рядом.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Затянутый натуго в мундир,</w:t>
      </w:r>
      <w:proofErr w:type="gramEnd"/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Враг оземь стучит прикладом       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(В.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Шульчев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этом тексте, так и во многих других, риторическая градация может быть сопряжена с логической и связана с различными тропами, иногда с перифразами:</w:t>
      </w:r>
      <w:proofErr w:type="gramEnd"/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Закат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догорает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Закат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дымит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И тучи как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клочья гари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И долго у статной сосны стоит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Высокий и статный парень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того же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Так говорит автор о тревоге 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юноши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которого на границе закончена. Но опасен, неспокоен ми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отсюда и восприятие заката как картины гибели мирной жизни в огне войны, и тревога юноши, хотя слово тревога автор не использует.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Риторическая градация в «предметном» письме может опираться на обобщенный признак с разной мерой проявления этого признака, а сопутствующего ему более абстрактного. Так, обобщенный признак цвета объектов не одного вида помогает передать семантику опасности в разных мерах проявлени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нулевой до предельной: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…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Вот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рыженькая кошечка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В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лисицу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превратилась,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Пото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м-</w:t>
      </w:r>
      <w:proofErr w:type="gramEnd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вполне естественно- 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Чуть потянулась, выросла,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Ещё </w:t>
      </w:r>
      <w:proofErr w:type="spellStart"/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поярче</w:t>
      </w:r>
      <w:proofErr w:type="spellEnd"/>
      <w:proofErr w:type="gramEnd"/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шерсткою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И 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погрубее</w:t>
      </w:r>
      <w:proofErr w:type="gramEnd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стала- 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И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рысью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злой, 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сторожкою</w:t>
      </w:r>
      <w:proofErr w:type="gramEnd"/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Лежит под одеялом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 Федорова).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Таким образом, при риторической градации объединяются и переплетаются в логик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понятийные, в том числе, нейтральные, и экспрессивные средства языка. База для такого объединения и направления определяется установкой автора, поэтому риторическая градация непредсказуема. В ней отражается именно реч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процесс, которая «прямо, непосредственно соотносительна с индивидуальным языком». Кроме того, риторическая градация теоретически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непредельна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хотя чаще всего используются ряды из дву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трех, реже- четырех компонентов.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91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Логическая градация 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воплощается в лексик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синтаксических средствах, но она опирается не на избранную по воле автора базу и гаммы переходов, а на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общелогическую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понятийную базу, обеспеченную общеязыковыми лексическими или описательными средствами, т.е. опирается на лингвистически готовый материал. Этот материал может быть относительно стабильным, может быть семантически или хронологически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неоднопорядковым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он используется именно как готовый: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Неверная,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лукавая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Коварна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я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gramEnd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пляши!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И будь навек 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отравою</w:t>
      </w:r>
      <w:proofErr w:type="gramEnd"/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Растраченной души!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А.Блок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Логическая градация нередко создается при участии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темпоральной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близкой к ней лексики. Иногда близкий к 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логическому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градационный ряд создается сопряжением слов и/или сочетаний с оттенками причинных и следственных отношений: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Бежит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торопится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ручей-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Живой предвестник урожая, 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Прозрачный март в снопах лучей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Водою талой отражая.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Размыл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раздвинул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берега,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Бежит с горы, как будто пишет.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Посмотриш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ь-</w:t>
      </w:r>
      <w:proofErr w:type="gramEnd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 тебе река!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А начинался каплей с крыши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(П. Касаткин). 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Готовый материал участвует в создании двух градационных рядов в стихотворении Л. Мартынова «Свобода»: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…За все я отвечаю в этом мире-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За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вздохи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слезы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горе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потери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За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веру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суеверье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безверье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Логический климакс: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Затихл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замолкли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трубы…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И все мы стояли молча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(В.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Шульчев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Логик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экспрессивный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антиклимакс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 те времена не раз, бывало,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Её судьба трепала зло,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выдюжила</w:t>
      </w:r>
      <w:proofErr w:type="gramEnd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устояла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И не оставила село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(Ю. Мельников).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Основы логической градаци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наличных языковых средствах, связанных с одной логико- понятийной базой, не имеющей индивидуально- избирательного характера. Эти языковые средства фиксируют именно гаммы логик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понятийных или логико- экспрессивных манифестаций (демонстраций) познаваемого или познанного как в материальном, так и в духовном мире. Эти гаммы образуют градационные ряды, члены которых являются не синонимами, а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градонимами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Федорова М. В. также отмечает: «Обращаясь к видам градации, напомним о возрастании (климаксе) и убывании (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антиклимаксе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признака. Наблюдения над текстами показывают, что следует выделить ещё один вид градации.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ряде случаев значение в градационном ряду по отношению к первому (начальному) члену ряда 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«возрастает», потом «нисходит», затем снова «возрастает», причем бывают и противоположные отношения.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Вся жизнь, ненужно изжитая,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Пытала, унижала, жгла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              А там, как призрак, возрастая,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День обозначил купола…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(А. Блок).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Логически более оправдан ряд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унижал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а-</w:t>
      </w:r>
      <w:proofErr w:type="gramEnd"/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пытала- жгла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но автор поступил иначе: в строфе- своеобразный «излом» градационного ряда. Для такого вида градации в качестве рабочего используем название </w:t>
      </w:r>
      <w:proofErr w:type="spellStart"/>
      <w:r w:rsidRPr="00A91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инклимакс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наиболее простых случаях характеристика градационного ряда логического или риторического типа с выявлением климакса,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антиклимакса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инклимкаса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затруднений не вызывает. В таких случаях можно говорить о </w:t>
      </w:r>
      <w:r w:rsidRPr="00A91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прямой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градации как особой организации градационного ряда. Но в ряде контекстов члены ряда оказываются в разных связях, т.е. связь по логик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понятийному основанию не совпадает со связью по экспрессивному признаку или качеству. Рассмотрим контекст: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Исполнится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пусть,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сбудется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Все то, что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мнится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чудится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Исполнится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сбудется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 по общей семе осуществления, но полнота этого осуществления связана с первым словом; здесь, следовательно, логический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антиклимакс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исполнитс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литературное, «холодное» слово, а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сбудется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общенародное, «теплое»,- следовательно, здесь содержится и экспрессивный климакс. Подобны отношения и 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мнится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чудится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Целесообразно для подобных случаев выделить особую разновидность градаци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градацию сопряженную</w:t>
      </w: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Изучению стилистических приемов в целом и места градации в стилистике посвящено огромное количество работ как отечественных, так и зарубежных лингвистов. Однако до сих пор не существует единого мнения по поводу принадлежности градации к тому или иному типу стилистических приёмов. Иногда её относят к семантическим фигурам, а иногда называют синтаксической. Существует несколько проблем в определении градации: терминологический разнобой (разные обозначения данного стилистического приема), нередко градацию смешивают с другими явлениями, рассматривают её как частное проявление других приемов (перечисления, ретардации, нарастания, повторов различного типа).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Леденева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 , например, пишет: «Под градационными отношениями обычно понимают расположение перечисляемых членов в порядке их возрастающего значени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восходящая градация, или в порядке убывающего значения- нисходящая градация. К числу русских градационных союзов относят: </w:t>
      </w:r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«а то и»; «а не о и»; «если и не, то»; «не только,… но и (а, однако)»; «как, так и»; «да и»; «не то что…, а (но)»; «не столько…, сколько»; «не так…, как»; «мало того, что»; «кроме того, что»; «помимо </w:t>
      </w:r>
      <w:proofErr w:type="spell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того</w:t>
      </w:r>
      <w:proofErr w:type="gramStart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,ч</w:t>
      </w:r>
      <w:proofErr w:type="gramEnd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</w:t>
      </w:r>
      <w:proofErr w:type="spellEnd"/>
      <w:r w:rsidRPr="00A917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»; «вернее»; «точнее»; «скорее»… 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Т. Е.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Бузуева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 внимание на то, что в предложениях с градационными союзами могут использоваться различные усилительные частицы, слова и словосочетания, а также местоимения и прилагательные, обладающие способностью выделять и усиливать однородные члены, к которым они относятся. Все эти добавочные конструктивные элементы не создают нового, а лишь усиливают основное значение и потому не становятся составной частью собственно градационных союзов. 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Некоторые исследователи рассматривают градацию как разновидность перечисления. К примеру, Панова Е. А. утверждает, что «градация (как восходяща</w:t>
      </w:r>
      <w:proofErr w:type="gram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климакс, так и нисходящая- </w:t>
      </w:r>
      <w:proofErr w:type="spellStart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антиклимакс</w:t>
      </w:r>
      <w:proofErr w:type="spellEnd"/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представляет собой лишь один из видов перечисления, поэтому употребление этих терминов как синонимов неправомерно». </w:t>
      </w:r>
    </w:p>
    <w:p w:rsidR="00A9175E" w:rsidRPr="00A9175E" w:rsidRDefault="00A9175E" w:rsidP="00A917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7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Никитина С.Е. и Васильева Н.В. указывают на то, что эта фигура строится при помощи операции перечисления. </w:t>
      </w:r>
    </w:p>
    <w:p w:rsidR="00A9175E" w:rsidRPr="00A9175E" w:rsidRDefault="00A9175E" w:rsidP="00A9175E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r w:rsidRPr="00A9175E">
        <w:rPr>
          <w:rFonts w:ascii="Times New Roman" w:hAnsi="Times New Roman" w:cs="Times New Roman"/>
          <w:sz w:val="24"/>
          <w:szCs w:val="24"/>
        </w:rPr>
        <w:t xml:space="preserve">             Таким образом, обобщая все вышесказанное, можно сделать вывод, что градация – универсальная фигура, т.к. она выходит и за рамки воплощения в слове. Мы находим градацию в архитектуре, в графике, живописи. В картине Левитана «Избы» градация дает игру света. Темные крытые почерневшей соломой избы вырисовываются на фоне закатного неба, оранжев</w:t>
      </w:r>
      <w:proofErr w:type="gramStart"/>
      <w:r w:rsidRPr="00A9175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9175E">
        <w:rPr>
          <w:rFonts w:ascii="Times New Roman" w:hAnsi="Times New Roman" w:cs="Times New Roman"/>
          <w:sz w:val="24"/>
          <w:szCs w:val="24"/>
        </w:rPr>
        <w:t xml:space="preserve"> золотого у линии горизонта и все более желтеющего по мере удаления от нее.</w:t>
      </w:r>
    </w:p>
    <w:p w:rsidR="008276C3" w:rsidRDefault="00A9175E" w:rsidP="00A9175E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  <w:r w:rsidRPr="00A9175E">
        <w:rPr>
          <w:rFonts w:ascii="Times New Roman" w:hAnsi="Times New Roman" w:cs="Times New Roman"/>
          <w:sz w:val="24"/>
          <w:szCs w:val="24"/>
        </w:rPr>
        <w:t xml:space="preserve">               Абсолютная универсальность градации как стилистической фигуры идет, вероятно, от существования этого феномена не только в искусстве, но и в самой жизни. Человек встречается с ним в раннем детстве- с  радугой, например, или с закатом, и они воспринимаются одновременно и как явления действительности, и как эстетическое переживание. Неудивительно, что градация рано закрепляется в человеческом сознании, проникает в бытовую речь, а из неё во все прочие функциональные разновидности речи. </w:t>
      </w:r>
    </w:p>
    <w:p w:rsidR="00A9175E" w:rsidRDefault="00A9175E" w:rsidP="00A9175E">
      <w:pPr>
        <w:spacing w:after="0"/>
        <w:ind w:left="135"/>
        <w:rPr>
          <w:rFonts w:ascii="Times New Roman" w:hAnsi="Times New Roman" w:cs="Times New Roman"/>
          <w:sz w:val="24"/>
          <w:szCs w:val="24"/>
        </w:rPr>
      </w:pPr>
    </w:p>
    <w:p w:rsidR="00A9175E" w:rsidRPr="00A9175E" w:rsidRDefault="00A9175E" w:rsidP="00A9175E">
      <w:pPr>
        <w:spacing w:after="0"/>
        <w:ind w:left="135"/>
        <w:rPr>
          <w:rFonts w:ascii="Times New Roman" w:hAnsi="Times New Roman" w:cs="Times New Roman"/>
          <w:b/>
          <w:sz w:val="24"/>
          <w:szCs w:val="24"/>
        </w:rPr>
      </w:pPr>
      <w:r w:rsidRPr="0059026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A9175E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A9175E" w:rsidRPr="00A9175E" w:rsidRDefault="00A9175E" w:rsidP="00A9175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175E">
        <w:rPr>
          <w:rFonts w:ascii="Times New Roman" w:hAnsi="Times New Roman" w:cs="Times New Roman"/>
          <w:sz w:val="24"/>
          <w:szCs w:val="24"/>
        </w:rPr>
        <w:t>Лингвистический энциклопедический словарь / Гл. ред. В. Н. Ярцев</w:t>
      </w:r>
      <w:proofErr w:type="gramStart"/>
      <w:r w:rsidRPr="00A9175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9175E">
        <w:rPr>
          <w:rFonts w:ascii="Times New Roman" w:hAnsi="Times New Roman" w:cs="Times New Roman"/>
          <w:sz w:val="24"/>
          <w:szCs w:val="24"/>
        </w:rPr>
        <w:t xml:space="preserve"> М.: Сов. </w:t>
      </w:r>
      <w:proofErr w:type="spellStart"/>
      <w:r w:rsidRPr="00A9175E">
        <w:rPr>
          <w:rFonts w:ascii="Times New Roman" w:hAnsi="Times New Roman" w:cs="Times New Roman"/>
          <w:sz w:val="24"/>
          <w:szCs w:val="24"/>
        </w:rPr>
        <w:t>Энцикл</w:t>
      </w:r>
      <w:proofErr w:type="spellEnd"/>
      <w:r w:rsidRPr="00A9175E">
        <w:rPr>
          <w:rFonts w:ascii="Times New Roman" w:hAnsi="Times New Roman" w:cs="Times New Roman"/>
          <w:sz w:val="24"/>
          <w:szCs w:val="24"/>
        </w:rPr>
        <w:t>., 1990;</w:t>
      </w:r>
    </w:p>
    <w:p w:rsidR="00A9175E" w:rsidRPr="00A9175E" w:rsidRDefault="00A9175E" w:rsidP="00A9175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175E">
        <w:rPr>
          <w:rFonts w:ascii="Times New Roman" w:hAnsi="Times New Roman" w:cs="Times New Roman"/>
          <w:sz w:val="24"/>
          <w:szCs w:val="24"/>
        </w:rPr>
        <w:t>Розенталь Д. Э., Теленкова М.Л. Словар</w:t>
      </w:r>
      <w:proofErr w:type="gramStart"/>
      <w:r w:rsidRPr="00A9175E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A9175E">
        <w:rPr>
          <w:rFonts w:ascii="Times New Roman" w:hAnsi="Times New Roman" w:cs="Times New Roman"/>
          <w:sz w:val="24"/>
          <w:szCs w:val="24"/>
        </w:rPr>
        <w:t xml:space="preserve"> справочник лингвистических терминов, М., 1995;</w:t>
      </w:r>
    </w:p>
    <w:p w:rsidR="00A9175E" w:rsidRPr="00A9175E" w:rsidRDefault="00A9175E" w:rsidP="00A9175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175E">
        <w:rPr>
          <w:rFonts w:ascii="Times New Roman" w:hAnsi="Times New Roman" w:cs="Times New Roman"/>
          <w:sz w:val="24"/>
          <w:szCs w:val="24"/>
        </w:rPr>
        <w:t>Никитина С. Е., Васильева Н. В. Экспериментальный системный толковый словарь лингвистических терминов, М., 1995;</w:t>
      </w:r>
    </w:p>
    <w:p w:rsidR="00A9175E" w:rsidRPr="00A9175E" w:rsidRDefault="00A9175E" w:rsidP="00A9175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175E">
        <w:rPr>
          <w:rFonts w:ascii="Times New Roman" w:hAnsi="Times New Roman" w:cs="Times New Roman"/>
          <w:sz w:val="24"/>
          <w:szCs w:val="24"/>
        </w:rPr>
        <w:t>Бузуева</w:t>
      </w:r>
      <w:proofErr w:type="spellEnd"/>
      <w:r w:rsidRPr="00A9175E">
        <w:rPr>
          <w:rFonts w:ascii="Times New Roman" w:hAnsi="Times New Roman" w:cs="Times New Roman"/>
          <w:sz w:val="24"/>
          <w:szCs w:val="24"/>
        </w:rPr>
        <w:t xml:space="preserve"> Т. Е. Градационные союзы в русском, хорватском, сербском языках// Русский язык в школе, 1986, № 4;</w:t>
      </w:r>
    </w:p>
    <w:p w:rsidR="00A9175E" w:rsidRPr="00A9175E" w:rsidRDefault="00A9175E" w:rsidP="00A9175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175E">
        <w:rPr>
          <w:rFonts w:ascii="Times New Roman" w:hAnsi="Times New Roman" w:cs="Times New Roman"/>
          <w:sz w:val="24"/>
          <w:szCs w:val="24"/>
        </w:rPr>
        <w:t>Леденева</w:t>
      </w:r>
      <w:proofErr w:type="spellEnd"/>
      <w:r w:rsidRPr="00A9175E">
        <w:rPr>
          <w:rFonts w:ascii="Times New Roman" w:hAnsi="Times New Roman" w:cs="Times New Roman"/>
          <w:sz w:val="24"/>
          <w:szCs w:val="24"/>
        </w:rPr>
        <w:t xml:space="preserve"> Л. С. Заметки о градационных союзах (</w:t>
      </w:r>
      <w:proofErr w:type="gramStart"/>
      <w:r w:rsidRPr="00A9175E">
        <w:rPr>
          <w:rFonts w:ascii="Times New Roman" w:hAnsi="Times New Roman" w:cs="Times New Roman"/>
          <w:sz w:val="24"/>
          <w:szCs w:val="24"/>
        </w:rPr>
        <w:t>русско- немецкие</w:t>
      </w:r>
      <w:proofErr w:type="gramEnd"/>
      <w:r w:rsidRPr="00A9175E">
        <w:rPr>
          <w:rFonts w:ascii="Times New Roman" w:hAnsi="Times New Roman" w:cs="Times New Roman"/>
          <w:sz w:val="24"/>
          <w:szCs w:val="24"/>
        </w:rPr>
        <w:t xml:space="preserve"> параллели)// Неполнозначные слова. Ставрополь, 1974;</w:t>
      </w:r>
    </w:p>
    <w:p w:rsidR="00A9175E" w:rsidRPr="00A9175E" w:rsidRDefault="00A9175E" w:rsidP="00A9175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175E">
        <w:rPr>
          <w:rFonts w:ascii="Times New Roman" w:hAnsi="Times New Roman" w:cs="Times New Roman"/>
          <w:sz w:val="24"/>
          <w:szCs w:val="24"/>
        </w:rPr>
        <w:t xml:space="preserve">  Береговская З. М. Система синтаксических фигур: К проблеме градации// Вопросы языкознания, 2003, № 3;</w:t>
      </w:r>
    </w:p>
    <w:p w:rsidR="00A9175E" w:rsidRPr="00A9175E" w:rsidRDefault="00A9175E" w:rsidP="00A9175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175E">
        <w:rPr>
          <w:rFonts w:ascii="Times New Roman" w:hAnsi="Times New Roman" w:cs="Times New Roman"/>
          <w:sz w:val="24"/>
          <w:szCs w:val="24"/>
        </w:rPr>
        <w:t>Федорова М. В. Градация в поэтической речи// Филологические науки, 1992, № 3;</w:t>
      </w:r>
    </w:p>
    <w:p w:rsidR="00A9175E" w:rsidRPr="00A9175E" w:rsidRDefault="00A9175E" w:rsidP="00A9175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175E">
        <w:rPr>
          <w:rFonts w:ascii="Times New Roman" w:hAnsi="Times New Roman" w:cs="Times New Roman"/>
          <w:sz w:val="24"/>
          <w:szCs w:val="24"/>
        </w:rPr>
        <w:t xml:space="preserve">Колесникова С. М. Категория </w:t>
      </w:r>
      <w:proofErr w:type="spellStart"/>
      <w:r w:rsidRPr="00A9175E">
        <w:rPr>
          <w:rFonts w:ascii="Times New Roman" w:hAnsi="Times New Roman" w:cs="Times New Roman"/>
          <w:sz w:val="24"/>
          <w:szCs w:val="24"/>
        </w:rPr>
        <w:t>градуальности</w:t>
      </w:r>
      <w:proofErr w:type="spellEnd"/>
      <w:r w:rsidRPr="00A9175E">
        <w:rPr>
          <w:rFonts w:ascii="Times New Roman" w:hAnsi="Times New Roman" w:cs="Times New Roman"/>
          <w:sz w:val="24"/>
          <w:szCs w:val="24"/>
        </w:rPr>
        <w:t xml:space="preserve"> в современном русском язык</w:t>
      </w:r>
      <w:proofErr w:type="gramStart"/>
      <w:r w:rsidRPr="00A9175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A9175E">
        <w:rPr>
          <w:rFonts w:ascii="Times New Roman" w:hAnsi="Times New Roman" w:cs="Times New Roman"/>
          <w:sz w:val="24"/>
          <w:szCs w:val="24"/>
        </w:rPr>
        <w:t xml:space="preserve"> Саранск, 1997;</w:t>
      </w:r>
    </w:p>
    <w:p w:rsidR="00A9175E" w:rsidRPr="00A9175E" w:rsidRDefault="00A9175E" w:rsidP="00A9175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175E">
        <w:rPr>
          <w:rFonts w:ascii="Times New Roman" w:hAnsi="Times New Roman" w:cs="Times New Roman"/>
          <w:sz w:val="24"/>
          <w:szCs w:val="24"/>
        </w:rPr>
        <w:t>Высоцкий В. С. Поэзия и проза/ В. С. Высоцкий – М.</w:t>
      </w:r>
      <w:proofErr w:type="gramStart"/>
      <w:r w:rsidRPr="00A9175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75E">
        <w:rPr>
          <w:rFonts w:ascii="Times New Roman" w:hAnsi="Times New Roman" w:cs="Times New Roman"/>
          <w:sz w:val="24"/>
          <w:szCs w:val="24"/>
        </w:rPr>
        <w:t xml:space="preserve"> Кн. палата, 1989.</w:t>
      </w:r>
    </w:p>
    <w:p w:rsidR="00A9175E" w:rsidRDefault="00A9175E" w:rsidP="00A9175E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9175E" w:rsidRDefault="00A9175E" w:rsidP="00A9175E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A9175E" w:rsidRDefault="00A9175E" w:rsidP="00A9175E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</w:p>
    <w:p w:rsidR="00A9175E" w:rsidRPr="006457B7" w:rsidRDefault="00A9175E" w:rsidP="00A9175E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</w:p>
    <w:p w:rsidR="00A9175E" w:rsidRDefault="00A9175E" w:rsidP="00A9175E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</w:p>
    <w:p w:rsidR="00A9175E" w:rsidRDefault="00A9175E" w:rsidP="00A9175E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9175E" w:rsidRPr="006457B7" w:rsidRDefault="00A9175E" w:rsidP="00A9175E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A9175E" w:rsidRPr="00A9175E" w:rsidRDefault="00A9175E" w:rsidP="00A9175E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9175E" w:rsidRDefault="00A9175E" w:rsidP="00A91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9175E" w:rsidRDefault="00A9175E" w:rsidP="00A917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175E" w:rsidRPr="00BE322A" w:rsidRDefault="00A9175E" w:rsidP="00A917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175E" w:rsidRPr="00A9175E" w:rsidRDefault="00A9175E" w:rsidP="00A9175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175E" w:rsidRPr="00A9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513A0"/>
    <w:multiLevelType w:val="hybridMultilevel"/>
    <w:tmpl w:val="93BAD746"/>
    <w:lvl w:ilvl="0" w:tplc="4FBEB5E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5E"/>
    <w:rsid w:val="008276C3"/>
    <w:rsid w:val="00A9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7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1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7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1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2111</Words>
  <Characters>12033</Characters>
  <Application>Microsoft Office Word</Application>
  <DocSecurity>0</DocSecurity>
  <Lines>100</Lines>
  <Paragraphs>28</Paragraphs>
  <ScaleCrop>false</ScaleCrop>
  <Company/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2025-11-01T14:22:00Z</dcterms:created>
  <dcterms:modified xsi:type="dcterms:W3CDTF">2025-11-01T14:24:00Z</dcterms:modified>
</cp:coreProperties>
</file>