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A79E0">
        <w:rPr>
          <w:rFonts w:ascii="Times New Roman" w:hAnsi="Times New Roman" w:cs="Times New Roman"/>
          <w:b/>
          <w:sz w:val="28"/>
          <w:szCs w:val="28"/>
        </w:rPr>
        <w:t>Научная статья: Педагогический дизайн антропоморфных интерфейсов в условиях цифровой трансформации образования</w:t>
      </w:r>
      <w:bookmarkEnd w:id="0"/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 xml:space="preserve">Аннотация: В статье рассматривается феномен интеграции антропоморфных (человекоподобных) интерфейсов, в частности </w:t>
      </w:r>
      <w:proofErr w:type="gramStart"/>
      <w:r w:rsidRPr="001A79E0">
        <w:rPr>
          <w:rFonts w:ascii="Times New Roman" w:hAnsi="Times New Roman" w:cs="Times New Roman"/>
          <w:sz w:val="28"/>
          <w:szCs w:val="28"/>
        </w:rPr>
        <w:t>чат-ботов</w:t>
      </w:r>
      <w:proofErr w:type="gramEnd"/>
      <w:r w:rsidRPr="001A79E0">
        <w:rPr>
          <w:rFonts w:ascii="Times New Roman" w:hAnsi="Times New Roman" w:cs="Times New Roman"/>
          <w:sz w:val="28"/>
          <w:szCs w:val="28"/>
        </w:rPr>
        <w:t xml:space="preserve"> с искусственным интеллектом, в образовательную среду. Цель исследования — выявить и проанализировать ключевые педагогические риски и возможности, связанные с их использованием. На основе анализа современных работ в области когнитивной лингвистики, теории социального научения и педагогического дизайна доказывается, что </w:t>
      </w:r>
      <w:proofErr w:type="gramStart"/>
      <w:r w:rsidRPr="001A79E0">
        <w:rPr>
          <w:rFonts w:ascii="Times New Roman" w:hAnsi="Times New Roman" w:cs="Times New Roman"/>
          <w:sz w:val="28"/>
          <w:szCs w:val="28"/>
        </w:rPr>
        <w:t>неконтролируемая</w:t>
      </w:r>
      <w:proofErr w:type="gramEnd"/>
      <w:r w:rsidRPr="001A7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9E0">
        <w:rPr>
          <w:rFonts w:ascii="Times New Roman" w:hAnsi="Times New Roman" w:cs="Times New Roman"/>
          <w:sz w:val="28"/>
          <w:szCs w:val="28"/>
        </w:rPr>
        <w:t>антропоморфизация</w:t>
      </w:r>
      <w:proofErr w:type="spellEnd"/>
      <w:r w:rsidRPr="001A79E0">
        <w:rPr>
          <w:rFonts w:ascii="Times New Roman" w:hAnsi="Times New Roman" w:cs="Times New Roman"/>
          <w:sz w:val="28"/>
          <w:szCs w:val="28"/>
        </w:rPr>
        <w:t xml:space="preserve"> может привести к формированию у обучающихся дефицитов в области критического мышления и </w:t>
      </w:r>
      <w:proofErr w:type="spellStart"/>
      <w:r w:rsidRPr="001A79E0">
        <w:rPr>
          <w:rFonts w:ascii="Times New Roman" w:hAnsi="Times New Roman" w:cs="Times New Roman"/>
          <w:sz w:val="28"/>
          <w:szCs w:val="28"/>
        </w:rPr>
        <w:t>метакогнитивных</w:t>
      </w:r>
      <w:proofErr w:type="spellEnd"/>
      <w:r w:rsidRPr="001A79E0">
        <w:rPr>
          <w:rFonts w:ascii="Times New Roman" w:hAnsi="Times New Roman" w:cs="Times New Roman"/>
          <w:sz w:val="28"/>
          <w:szCs w:val="28"/>
        </w:rPr>
        <w:t xml:space="preserve"> навыков. В то же время, целенаправленно спроектированный педагогический сценарий взаимодействия с ИИ позволяет создать персонализированную учебную среду, способствующую развитию дивергентного мышления и навыков постановки задач. Предлагается модель педагогического проектирования антропоморфных интерфейсов, основанная на принципах управляемого исследования и рефлексивного анализа.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9E0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>Цифровая трансформация образования, ускоренная развитием генеративного искусственного интеллекта, порождает новые, не до конца изученные педагогические феномены. Одним из наиболее значимых является массовое внедрение в учебный процесс антропоморфных интерфейсов — диалоговых систем, имитирующих человеческое общение. Их естественность и доступность создают иллюзию взаимодействия с «всезнающим партнером», что кардинально меняет традиционную дидактическую систему «учитель — ученик — содержание».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 xml:space="preserve">Актуальность исследования обусловлена противоречием между стремительным распространением данных технологий и отсутствием проработанной педагогической модели их интеграции. Существует реальный риск подмены целей образования: вместо развития способности к </w:t>
      </w:r>
      <w:r w:rsidRPr="001A79E0">
        <w:rPr>
          <w:rFonts w:ascii="Times New Roman" w:hAnsi="Times New Roman" w:cs="Times New Roman"/>
          <w:sz w:val="28"/>
          <w:szCs w:val="28"/>
        </w:rPr>
        <w:lastRenderedPageBreak/>
        <w:t>самостоятельному мышлению и решению проблем происходит оптимизация процесса получения готовых ответов.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 xml:space="preserve">Гипотеза исследования: Эффективность использования антропоморфных интерфейсов в образовании напрямую зависит от педагогического дизайна, который должен не просто облегчать доступ к информации, но и целенаправленно формировать </w:t>
      </w:r>
      <w:proofErr w:type="spellStart"/>
      <w:r w:rsidRPr="001A79E0">
        <w:rPr>
          <w:rFonts w:ascii="Times New Roman" w:hAnsi="Times New Roman" w:cs="Times New Roman"/>
          <w:sz w:val="28"/>
          <w:szCs w:val="28"/>
        </w:rPr>
        <w:t>метакогнитивные</w:t>
      </w:r>
      <w:proofErr w:type="spellEnd"/>
      <w:r w:rsidRPr="001A79E0">
        <w:rPr>
          <w:rFonts w:ascii="Times New Roman" w:hAnsi="Times New Roman" w:cs="Times New Roman"/>
          <w:sz w:val="28"/>
          <w:szCs w:val="28"/>
        </w:rPr>
        <w:t xml:space="preserve"> и критические навыки обучающегося.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>Теоретическая база и методы исследования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>Теоретической основой работы послужили: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>1. Теория социального научения А. Бандуры, в частности, концепция обучения через наблюдение и моделирование. Антропоморфный ИИ выступает в роли модели, демонстрирующей стиль мышления и решения задач.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 xml:space="preserve">2. Концепция </w:t>
      </w:r>
      <w:proofErr w:type="spellStart"/>
      <w:r w:rsidRPr="001A79E0">
        <w:rPr>
          <w:rFonts w:ascii="Times New Roman" w:hAnsi="Times New Roman" w:cs="Times New Roman"/>
          <w:sz w:val="28"/>
          <w:szCs w:val="28"/>
        </w:rPr>
        <w:t>метакогниции</w:t>
      </w:r>
      <w:proofErr w:type="spellEnd"/>
      <w:r w:rsidRPr="001A79E0">
        <w:rPr>
          <w:rFonts w:ascii="Times New Roman" w:hAnsi="Times New Roman" w:cs="Times New Roman"/>
          <w:sz w:val="28"/>
          <w:szCs w:val="28"/>
        </w:rPr>
        <w:t xml:space="preserve"> (Дж. </w:t>
      </w:r>
      <w:proofErr w:type="spellStart"/>
      <w:r w:rsidRPr="001A79E0">
        <w:rPr>
          <w:rFonts w:ascii="Times New Roman" w:hAnsi="Times New Roman" w:cs="Times New Roman"/>
          <w:sz w:val="28"/>
          <w:szCs w:val="28"/>
        </w:rPr>
        <w:t>Флейвелл</w:t>
      </w:r>
      <w:proofErr w:type="spellEnd"/>
      <w:r w:rsidRPr="001A79E0">
        <w:rPr>
          <w:rFonts w:ascii="Times New Roman" w:hAnsi="Times New Roman" w:cs="Times New Roman"/>
          <w:sz w:val="28"/>
          <w:szCs w:val="28"/>
        </w:rPr>
        <w:t>), как ключевого компонента саморегулируемого обучения.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>3. Принципы педагогического дизайна (Р. Мейер), касающиеся минимизации когнитивной нагрузки и управления вниманием в мультимедийной среде.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 xml:space="preserve">В качестве методов исследования использовались: теоретический анализ научной литературы, педагогическое моделирование и анализ кейсов взаимодействия пользователей с </w:t>
      </w:r>
      <w:proofErr w:type="gramStart"/>
      <w:r w:rsidRPr="001A79E0">
        <w:rPr>
          <w:rFonts w:ascii="Times New Roman" w:hAnsi="Times New Roman" w:cs="Times New Roman"/>
          <w:sz w:val="28"/>
          <w:szCs w:val="28"/>
        </w:rPr>
        <w:t>чат-ботами</w:t>
      </w:r>
      <w:proofErr w:type="gramEnd"/>
      <w:r w:rsidRPr="001A79E0">
        <w:rPr>
          <w:rFonts w:ascii="Times New Roman" w:hAnsi="Times New Roman" w:cs="Times New Roman"/>
          <w:sz w:val="28"/>
          <w:szCs w:val="28"/>
        </w:rPr>
        <w:t xml:space="preserve"> (на примере платформ типа </w:t>
      </w:r>
      <w:proofErr w:type="spellStart"/>
      <w:r w:rsidRPr="001A79E0">
        <w:rPr>
          <w:rFonts w:ascii="Times New Roman" w:hAnsi="Times New Roman" w:cs="Times New Roman"/>
          <w:sz w:val="28"/>
          <w:szCs w:val="28"/>
          <w:lang w:val="en-US"/>
        </w:rPr>
        <w:t>ChatGPT</w:t>
      </w:r>
      <w:proofErr w:type="spellEnd"/>
      <w:r w:rsidRPr="001A79E0">
        <w:rPr>
          <w:rFonts w:ascii="Times New Roman" w:hAnsi="Times New Roman" w:cs="Times New Roman"/>
          <w:sz w:val="28"/>
          <w:szCs w:val="28"/>
        </w:rPr>
        <w:t>).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>Анализ педагогических рисков антропоморфных интерфейсов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>1. Риск интеллектуальной пассивности и «выученной беспомощности». Легкость получения развернутых, связных ответов может привести к тому, что у обучающегося пропадает мотивация к самостоятельному анализу, синтезу и проверке информации. Формируется установка на поиск внешнего «оракула», а не на внутреннее разрешение когнитивного конфликта.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 xml:space="preserve">2. Эрозия </w:t>
      </w:r>
      <w:proofErr w:type="spellStart"/>
      <w:r w:rsidRPr="001A79E0">
        <w:rPr>
          <w:rFonts w:ascii="Times New Roman" w:hAnsi="Times New Roman" w:cs="Times New Roman"/>
          <w:sz w:val="28"/>
          <w:szCs w:val="28"/>
        </w:rPr>
        <w:t>метакогнитивных</w:t>
      </w:r>
      <w:proofErr w:type="spellEnd"/>
      <w:r w:rsidRPr="001A79E0">
        <w:rPr>
          <w:rFonts w:ascii="Times New Roman" w:hAnsi="Times New Roman" w:cs="Times New Roman"/>
          <w:sz w:val="28"/>
          <w:szCs w:val="28"/>
        </w:rPr>
        <w:t xml:space="preserve"> навыков. Процессы планирования, мониторинга и оценки собственной учебной деятельности («знаю, что я не </w:t>
      </w:r>
      <w:r w:rsidRPr="001A79E0">
        <w:rPr>
          <w:rFonts w:ascii="Times New Roman" w:hAnsi="Times New Roman" w:cs="Times New Roman"/>
          <w:sz w:val="28"/>
          <w:szCs w:val="28"/>
        </w:rPr>
        <w:lastRenderedPageBreak/>
        <w:t>знаю») перекладываются на ИИ. Студент перестает рефлексировать над тем, как он мыслит, так как интерфейс предлагает уже готовый путь.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>3. Иллюзия компетентности. Убедительность и безапелляционность ответов ИИ, даже содержащих ошибки или «галлюцинации», может создать у пользователя ложное чувство понимания темы. Это подрывает формирование критического отношения к источникам информации.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>Потенциал и модель педагогического дизайна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>Несмотря на риски, антропоморфные интерфейсы обладают уникальным педагогическим потенциалом для создания персонализированной учебной среды «зоны ближайшего развития» (Л.С. Выготский) по запросу.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>Предлагаемая модель педагогического проектирования включает три уровня: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>1. Уровень сценария взаимодействия (Макроуровень).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 xml:space="preserve">   · Принцип «Сократического диалога»: Интерфейс должен не давать ответы, а задавать наводящие вопросы, побуждая обучающегося самостоятельно сформулировать гипотезу, найти противоречия, построить аргументацию.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 xml:space="preserve">   · Режим «Рефлексивного помощника»: После решения задачи ИИ может предложить ученику проанализировать и сравнить свой путь решения с </w:t>
      </w:r>
      <w:proofErr w:type="gramStart"/>
      <w:r w:rsidRPr="001A79E0">
        <w:rPr>
          <w:rFonts w:ascii="Times New Roman" w:hAnsi="Times New Roman" w:cs="Times New Roman"/>
          <w:sz w:val="28"/>
          <w:szCs w:val="28"/>
        </w:rPr>
        <w:t>альтернативными</w:t>
      </w:r>
      <w:proofErr w:type="gramEnd"/>
      <w:r w:rsidRPr="001A79E0">
        <w:rPr>
          <w:rFonts w:ascii="Times New Roman" w:hAnsi="Times New Roman" w:cs="Times New Roman"/>
          <w:sz w:val="28"/>
          <w:szCs w:val="28"/>
        </w:rPr>
        <w:t>, предложенными системой.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>2. Уровень интерфейса и коммуникации (</w:t>
      </w:r>
      <w:proofErr w:type="spellStart"/>
      <w:r w:rsidRPr="001A79E0">
        <w:rPr>
          <w:rFonts w:ascii="Times New Roman" w:hAnsi="Times New Roman" w:cs="Times New Roman"/>
          <w:sz w:val="28"/>
          <w:szCs w:val="28"/>
        </w:rPr>
        <w:t>Мезоуровень</w:t>
      </w:r>
      <w:proofErr w:type="spellEnd"/>
      <w:r w:rsidRPr="001A79E0">
        <w:rPr>
          <w:rFonts w:ascii="Times New Roman" w:hAnsi="Times New Roman" w:cs="Times New Roman"/>
          <w:sz w:val="28"/>
          <w:szCs w:val="28"/>
        </w:rPr>
        <w:t>).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 xml:space="preserve">   · Визуальная и текстовая де-</w:t>
      </w:r>
      <w:proofErr w:type="spellStart"/>
      <w:r w:rsidRPr="001A79E0">
        <w:rPr>
          <w:rFonts w:ascii="Times New Roman" w:hAnsi="Times New Roman" w:cs="Times New Roman"/>
          <w:sz w:val="28"/>
          <w:szCs w:val="28"/>
        </w:rPr>
        <w:t>антропоморфизация</w:t>
      </w:r>
      <w:proofErr w:type="spellEnd"/>
      <w:r w:rsidRPr="001A79E0">
        <w:rPr>
          <w:rFonts w:ascii="Times New Roman" w:hAnsi="Times New Roman" w:cs="Times New Roman"/>
          <w:sz w:val="28"/>
          <w:szCs w:val="28"/>
        </w:rPr>
        <w:t>: Снижение степени «очеловечивания» (например, использование нейтрального имени, указание на статус ИИ) для формирования у пользователя адекватной ментальной модели — «инструмент», а не «собеседник».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 xml:space="preserve">   · Явное указание на неопределенность: Внедрение в коммуникацию фраз, показывающих вероятностную природу ответов («На основе анализа данных, наиболее вероятным представляется...», «Рекомендую перепроверить эту информацию </w:t>
      </w:r>
      <w:proofErr w:type="gramStart"/>
      <w:r w:rsidRPr="001A79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79E0">
        <w:rPr>
          <w:rFonts w:ascii="Times New Roman" w:hAnsi="Times New Roman" w:cs="Times New Roman"/>
          <w:sz w:val="28"/>
          <w:szCs w:val="28"/>
        </w:rPr>
        <w:t>...»).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lastRenderedPageBreak/>
        <w:t>3. Уровень интеграции в учебный процесс (Микроуровень).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 xml:space="preserve">   · Чередование индивидуальной работы с ИИ и групповой дискуссии: Полученные от ИИ идеи и данные становятся материалом для критического обсуждения в группе под руководством педагога.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 xml:space="preserve">   · Формирование «цифровой грамотности по отношению к ИИ»: Прямое обучение студентов методам </w:t>
      </w:r>
      <w:proofErr w:type="gramStart"/>
      <w:r w:rsidRPr="001A79E0">
        <w:rPr>
          <w:rFonts w:ascii="Times New Roman" w:hAnsi="Times New Roman" w:cs="Times New Roman"/>
          <w:sz w:val="28"/>
          <w:szCs w:val="28"/>
        </w:rPr>
        <w:t>эффективного</w:t>
      </w:r>
      <w:proofErr w:type="gramEnd"/>
      <w:r w:rsidRPr="001A7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79E0">
        <w:rPr>
          <w:rFonts w:ascii="Times New Roman" w:hAnsi="Times New Roman" w:cs="Times New Roman"/>
          <w:sz w:val="28"/>
          <w:szCs w:val="28"/>
        </w:rPr>
        <w:t>промпт</w:t>
      </w:r>
      <w:proofErr w:type="spellEnd"/>
      <w:r w:rsidRPr="001A79E0">
        <w:rPr>
          <w:rFonts w:ascii="Times New Roman" w:hAnsi="Times New Roman" w:cs="Times New Roman"/>
          <w:sz w:val="28"/>
          <w:szCs w:val="28"/>
        </w:rPr>
        <w:t>-инжиниринга, стратегиям верификации ответов и пониманию ограничений технологии.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9E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>Антропоморфные интерфейсы на основе ИИ представляют собой не просто новый инструмент, а новую образовательную среду, требующую осознанного педагогического проектирования. Стихийное их использование несет в себе существенные риски для интеллектуального развития обучающихся. Однако</w:t>
      </w:r>
      <w:proofErr w:type="gramStart"/>
      <w:r w:rsidRPr="001A79E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A79E0">
        <w:rPr>
          <w:rFonts w:ascii="Times New Roman" w:hAnsi="Times New Roman" w:cs="Times New Roman"/>
          <w:sz w:val="28"/>
          <w:szCs w:val="28"/>
        </w:rPr>
        <w:t xml:space="preserve"> целенаправленное внедрение в рамках предложенной трехуровневой модели позволяет трансформировать эти риски в возможности. Ключевая роль в этом процессе принадлежит педагогу, который из транслятора знаний превращается в архитектора учебного опыта и модератора взаимодействия «ученик — цифровой интеллект». Дальнейшие исследования должны быть направлены на эмпирическую проверку эффективности предложенной модели и разработку конкретных дидактических материалов для </w:t>
      </w:r>
      <w:r w:rsidRPr="001A79E0">
        <w:rPr>
          <w:rFonts w:ascii="Times New Roman" w:hAnsi="Times New Roman" w:cs="Times New Roman"/>
          <w:sz w:val="28"/>
          <w:szCs w:val="28"/>
          <w:lang w:val="en-US"/>
        </w:rPr>
        <w:t>educators</w:t>
      </w:r>
      <w:r w:rsidRPr="001A79E0">
        <w:rPr>
          <w:rFonts w:ascii="Times New Roman" w:hAnsi="Times New Roman" w:cs="Times New Roman"/>
          <w:sz w:val="28"/>
          <w:szCs w:val="28"/>
        </w:rPr>
        <w:t>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9E0">
        <w:rPr>
          <w:rFonts w:ascii="Times New Roman" w:hAnsi="Times New Roman" w:cs="Times New Roman"/>
          <w:b/>
          <w:sz w:val="28"/>
          <w:szCs w:val="28"/>
        </w:rPr>
        <w:t>Библиографический список (стилизованный):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9E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A79E0">
        <w:rPr>
          <w:rFonts w:ascii="Times New Roman" w:hAnsi="Times New Roman" w:cs="Times New Roman"/>
          <w:sz w:val="28"/>
          <w:szCs w:val="28"/>
          <w:lang w:val="en-US"/>
        </w:rPr>
        <w:t>Bandura</w:t>
      </w:r>
      <w:r w:rsidRPr="001A79E0">
        <w:rPr>
          <w:rFonts w:ascii="Times New Roman" w:hAnsi="Times New Roman" w:cs="Times New Roman"/>
          <w:sz w:val="28"/>
          <w:szCs w:val="28"/>
        </w:rPr>
        <w:t xml:space="preserve"> </w:t>
      </w:r>
      <w:r w:rsidRPr="001A79E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A79E0">
        <w:rPr>
          <w:rFonts w:ascii="Times New Roman" w:hAnsi="Times New Roman" w:cs="Times New Roman"/>
          <w:sz w:val="28"/>
          <w:szCs w:val="28"/>
        </w:rPr>
        <w:t xml:space="preserve">. </w:t>
      </w:r>
      <w:r w:rsidRPr="001A79E0">
        <w:rPr>
          <w:rFonts w:ascii="Times New Roman" w:hAnsi="Times New Roman" w:cs="Times New Roman"/>
          <w:sz w:val="28"/>
          <w:szCs w:val="28"/>
          <w:lang w:val="en-US"/>
        </w:rPr>
        <w:t>Social</w:t>
      </w:r>
      <w:r w:rsidRPr="001A79E0">
        <w:rPr>
          <w:rFonts w:ascii="Times New Roman" w:hAnsi="Times New Roman" w:cs="Times New Roman"/>
          <w:sz w:val="28"/>
          <w:szCs w:val="28"/>
        </w:rPr>
        <w:t xml:space="preserve"> </w:t>
      </w:r>
      <w:r w:rsidRPr="001A79E0">
        <w:rPr>
          <w:rFonts w:ascii="Times New Roman" w:hAnsi="Times New Roman" w:cs="Times New Roman"/>
          <w:sz w:val="28"/>
          <w:szCs w:val="28"/>
          <w:lang w:val="en-US"/>
        </w:rPr>
        <w:t>Learning</w:t>
      </w:r>
      <w:r w:rsidRPr="001A79E0">
        <w:rPr>
          <w:rFonts w:ascii="Times New Roman" w:hAnsi="Times New Roman" w:cs="Times New Roman"/>
          <w:sz w:val="28"/>
          <w:szCs w:val="28"/>
        </w:rPr>
        <w:t xml:space="preserve"> </w:t>
      </w:r>
      <w:r w:rsidRPr="001A79E0">
        <w:rPr>
          <w:rFonts w:ascii="Times New Roman" w:hAnsi="Times New Roman" w:cs="Times New Roman"/>
          <w:sz w:val="28"/>
          <w:szCs w:val="28"/>
          <w:lang w:val="en-US"/>
        </w:rPr>
        <w:t>Theory</w:t>
      </w:r>
      <w:r w:rsidRPr="001A79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A79E0">
        <w:rPr>
          <w:rFonts w:ascii="Times New Roman" w:hAnsi="Times New Roman" w:cs="Times New Roman"/>
          <w:sz w:val="28"/>
          <w:szCs w:val="28"/>
        </w:rPr>
        <w:t xml:space="preserve"> – 1977.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79E0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1A79E0">
        <w:rPr>
          <w:rFonts w:ascii="Times New Roman" w:hAnsi="Times New Roman" w:cs="Times New Roman"/>
          <w:sz w:val="28"/>
          <w:szCs w:val="28"/>
          <w:lang w:val="en-US"/>
        </w:rPr>
        <w:t>Flavell</w:t>
      </w:r>
      <w:proofErr w:type="spellEnd"/>
      <w:r w:rsidRPr="001A79E0">
        <w:rPr>
          <w:rFonts w:ascii="Times New Roman" w:hAnsi="Times New Roman" w:cs="Times New Roman"/>
          <w:sz w:val="28"/>
          <w:szCs w:val="28"/>
          <w:lang w:val="en-US"/>
        </w:rPr>
        <w:t xml:space="preserve"> J.H. Metacognition and cognitive monitoring: A new area of cognitive–developmental inquiry. – 1979.</w:t>
      </w:r>
    </w:p>
    <w:p w:rsidR="001A79E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79E0">
        <w:rPr>
          <w:rFonts w:ascii="Times New Roman" w:hAnsi="Times New Roman" w:cs="Times New Roman"/>
          <w:sz w:val="28"/>
          <w:szCs w:val="28"/>
          <w:lang w:val="en-US"/>
        </w:rPr>
        <w:t>3. Mayer R.E. Multimedia Learning. – 2021.</w:t>
      </w:r>
    </w:p>
    <w:p w:rsidR="000023B0" w:rsidRPr="001A79E0" w:rsidRDefault="001A79E0" w:rsidP="001A79E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79E0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1A79E0">
        <w:rPr>
          <w:rFonts w:ascii="Times New Roman" w:hAnsi="Times New Roman" w:cs="Times New Roman"/>
          <w:sz w:val="28"/>
          <w:szCs w:val="28"/>
          <w:lang w:val="en-US"/>
        </w:rPr>
        <w:t>Vygotsky</w:t>
      </w:r>
      <w:proofErr w:type="spellEnd"/>
      <w:r w:rsidRPr="001A79E0">
        <w:rPr>
          <w:rFonts w:ascii="Times New Roman" w:hAnsi="Times New Roman" w:cs="Times New Roman"/>
          <w:sz w:val="28"/>
          <w:szCs w:val="28"/>
          <w:lang w:val="en-US"/>
        </w:rPr>
        <w:t xml:space="preserve"> L.S. Mind in Society: The Development of Higher Psychological Processes. – 1978.</w:t>
      </w:r>
    </w:p>
    <w:sectPr w:rsidR="000023B0" w:rsidRPr="001A7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0"/>
    <w:rsid w:val="001A79E0"/>
    <w:rsid w:val="00225684"/>
    <w:rsid w:val="003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24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104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4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pl1</dc:creator>
  <cp:lastModifiedBy>pl1</cp:lastModifiedBy>
  <cp:revision>1</cp:revision>
  <dcterms:created xsi:type="dcterms:W3CDTF">2025-11-10T06:21:00Z</dcterms:created>
  <dcterms:modified xsi:type="dcterms:W3CDTF">2025-11-10T06:23:00Z</dcterms:modified>
</cp:coreProperties>
</file>