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6D4" w:rsidRPr="005F3EA8" w:rsidRDefault="00E166D4" w:rsidP="005F3EA8">
      <w:pPr>
        <w:spacing w:after="210" w:line="36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Актуальные проблемы правового регулирования занятости и трудоустройства</w:t>
      </w:r>
    </w:p>
    <w:p w:rsidR="00E166D4" w:rsidRPr="005F3EA8" w:rsidRDefault="00E166D4" w:rsidP="005F3EA8">
      <w:pPr>
        <w:spacing w:after="21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5F3EA8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Чикурова</w:t>
      </w:r>
      <w:proofErr w:type="spellEnd"/>
      <w:r w:rsidRPr="005F3E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Николаевна</w:t>
      </w:r>
    </w:p>
    <w:p w:rsidR="00871F44" w:rsidRPr="005F3EA8" w:rsidRDefault="00871F44" w:rsidP="005F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E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Магистрант</w:t>
      </w:r>
      <w:r w:rsidRPr="005F3EA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F3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НЕГОСУДАРСТВЕННОЕ ОБРАЗОВАТЕЛЬНОЕ ЧАСТНОЕ УЧРЕЖДЕНИЕ ВЫСШЕГО ОБРАЗОВАНИЯ </w:t>
      </w:r>
    </w:p>
    <w:p w:rsidR="00871F44" w:rsidRPr="005F3EA8" w:rsidRDefault="00871F44" w:rsidP="0037450A">
      <w:pPr>
        <w:widowControl w:val="0"/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«МОСКОВСКИЙ УНИВЕРСИТЕТ «СИНЕРГИЯ»</w:t>
      </w:r>
      <w:r w:rsidRPr="005F3EA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5F3EA8">
        <w:rPr>
          <w:rFonts w:ascii="Times New Roman" w:hAnsi="Times New Roman" w:cs="Times New Roman"/>
          <w:i/>
          <w:iCs/>
          <w:sz w:val="28"/>
          <w:szCs w:val="28"/>
        </w:rPr>
        <w:t>Российская Федерация, г. Москва</w:t>
      </w:r>
    </w:p>
    <w:p w:rsidR="00B43F6B" w:rsidRPr="005F3EA8" w:rsidRDefault="0037450A" w:rsidP="003745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Аннотация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В статье рассматриваются современные проблемы правового регулирования занятости и трудоустройства в Российской Федерации, анализируется законодательная база, исследуются пробелы и коллизии, предлагаются пути со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вершенствования правовых механизмов, способствующих повышению эффективности занятости населения и снижению уровня безработицы. Обозначено значение цифровизации, миграционных процессов, платформенной занятости, а также показана роль правовых гарантий социал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ьно уязвимых групп.</w:t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Ключевые слова:</w:t>
      </w:r>
      <w:r w:rsid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 xml:space="preserve"> 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правовое регулирование, занятость, трудоустройство, безработица, трудовое право, рынок труда, современное законодательство, самозанятость, государственная политика, правовые гарантии.</w:t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Введение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Современный рынок труда в России характеризуется многообразием форм занятости и меняющейся законодательной средой. Проблема эффективного регулирова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ния занятости и трудоустройства находит отражение в государственных программах, научных исследованиях и нормативных актах. Правовое обеспечение устойчивого развития рынка труда напрямую влияет на 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>экономическую стабильность, уровень жизни граждан и развитие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человеческого капитала.</w:t>
      </w:r>
      <w:bookmarkStart w:id="1" w:name="fnref1"/>
      <w:bookmarkEnd w:id="1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" w:name="fnref2"/>
      <w:bookmarkEnd w:id="2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3" w:name="fnref3"/>
      <w:bookmarkEnd w:id="3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"fn3"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[3]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4" w:name="fnref4"/>
      <w:bookmarkEnd w:id="4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"fn4"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[4]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1. Законодательная и нормативная база регулирования занятости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Правовое регулирование занятости населения основывает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ся на Конституции РФ, закрепляющей право на труд (ст. 37), Трудовом кодексе РФ, федеральных законах и подзаконных актах. Федеральный закон от 12.12.2023 № 565-ФЗ «О занятости населения в Российской Федерации» обновил понятие занятости, расширил перечень за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щищённых социальных групп, внедрил новые механизмы содействия занятости. Международные стандарты регламентируются рядом конвенций МОТ.</w:t>
      </w:r>
      <w:bookmarkStart w:id="5" w:name="fnref3_1"/>
      <w:bookmarkEnd w:id="5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"fn3"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[3]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6" w:name="fnref5"/>
      <w:bookmarkEnd w:id="6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"fn5"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[5]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7" w:name="fnref6"/>
      <w:bookmarkEnd w:id="7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"fn6"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[6]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8" w:name="fnref7"/>
      <w:bookmarkEnd w:id="8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"fn7"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[7]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9" w:name="fnref8"/>
      <w:bookmarkEnd w:id="9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"fn8"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[8]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10" w:name="fnref9"/>
      <w:bookmarkEnd w:id="10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"fn9"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[9]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Однако многие положения носят декларативный характер или недостаточно адаптированы к современной социально-экономической действительности.</w:t>
      </w:r>
      <w:bookmarkStart w:id="11" w:name="fnref2_1"/>
      <w:bookmarkEnd w:id="11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12" w:name="fnref10"/>
      <w:bookmarkEnd w:id="12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"fn10"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[10]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13" w:name="fnref11"/>
      <w:bookmarkEnd w:id="13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"fn11"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[11]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2. Основные проблемы современного рынка труда и регулирования занятости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К числу актуальных проблем относятся: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– несоответствие профессиональной подготовки потребностям рынка труда;</w:t>
      </w:r>
      <w:bookmarkStart w:id="14" w:name="fnref10_1"/>
      <w:bookmarkEnd w:id="14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"fn10"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[10]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15" w:name="fnref12"/>
      <w:bookmarkEnd w:id="15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</w:instrText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l "fn12"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[12]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 xml:space="preserve">– рост неформальной и платформенной занятости, законодательная </w:t>
      </w:r>
      <w:proofErr w:type="spellStart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неурегулированность</w:t>
      </w:r>
      <w:proofErr w:type="spellEnd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новых видов занятости;</w:t>
      </w:r>
      <w:bookmarkStart w:id="16" w:name="fnref13"/>
      <w:bookmarkEnd w:id="16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"fn13"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[13]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17" w:name="fnref14"/>
      <w:bookmarkEnd w:id="17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"fn14"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[14]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18" w:name="fnref2_2"/>
      <w:bookmarkEnd w:id="18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– сложности трудоустройства молодёжи, инв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алидов, мигрантов, женщин и других социальных групп;</w:t>
      </w:r>
      <w:bookmarkStart w:id="19" w:name="fnref7_1"/>
      <w:bookmarkEnd w:id="19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"fn7"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[7]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0" w:name="fnref15"/>
      <w:bookmarkEnd w:id="20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"fn15"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[15]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1" w:name="fnref16"/>
      <w:bookmarkEnd w:id="21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"fn16"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[16]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2" w:name="fnref17"/>
      <w:bookmarkEnd w:id="22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"fn17"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[17]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– цифровизация рынка труда, электронные трудовые книжки, дистанционная работа.</w:t>
      </w:r>
      <w:bookmarkStart w:id="23" w:name="fnref16_1"/>
      <w:bookmarkEnd w:id="23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HYPERLINK \l "fn16"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[16]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4" w:name="fnref18"/>
      <w:bookmarkEnd w:id="24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"fn18"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[18]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5" w:name="fnref19"/>
      <w:bookmarkEnd w:id="25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"fn19"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[19]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6" w:name="fnref20"/>
      <w:bookmarkEnd w:id="26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"fn20"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[20]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7" w:name="fnref21"/>
      <w:bookmarkEnd w:id="27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"fn21"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[21]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>Рынок труда изменяется под влиянием пандемии COVID-19, повышается значение дистанционного труда, появляются новые вызовы для правового регулирования.</w:t>
      </w:r>
      <w:bookmarkStart w:id="28" w:name="fnref20_1"/>
      <w:bookmarkEnd w:id="28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"fn20"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[20]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29" w:name="fnref22"/>
      <w:bookmarkEnd w:id="29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"fn22"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[22]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3. Коллизии и пробелы в действующем законода</w:t>
      </w: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тельстве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Существенная проблема — неполнота регулирования платформенной занятости: трудовые права работников платформ часто не защищены наравне с традиционными работниками. Необходимо совершенствовать правовую защиту работников временной и проектной занятос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ти и создавать действенные механизмы поддержки предпринимательства.</w:t>
      </w:r>
      <w:bookmarkStart w:id="30" w:name="fnref21_1"/>
      <w:bookmarkEnd w:id="30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"fn21"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[21]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31" w:name="fnref23"/>
      <w:bookmarkEnd w:id="31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"fn23"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[23]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32" w:name="fnref24"/>
      <w:bookmarkEnd w:id="32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"fn24"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[24]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33" w:name="fnref13_1"/>
      <w:bookmarkEnd w:id="33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"fn13"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[13]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Реализация федеральных и региональных программ содействия занято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сти зачастую не даёт ожидаемого эффекта для трудоустройства выпускников, лиц предпенсионного возраста и мигрантов; в отдельных регионах сохраняется высокий уровень скрытой безработицы.</w:t>
      </w:r>
      <w:bookmarkStart w:id="34" w:name="fnref4_1"/>
      <w:bookmarkEnd w:id="34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"fn4"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[4]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35" w:name="fnref25"/>
      <w:bookmarkEnd w:id="35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"fn25"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[25]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4. Пути сов</w:t>
      </w: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ершенствования правового регулирования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Для повышения эффективности регулирования занятости требуются: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– развитие гибких форм занятости и их нормативное закрепление;</w:t>
      </w:r>
      <w:bookmarkStart w:id="36" w:name="fnref9_1"/>
      <w:bookmarkEnd w:id="36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"fn9"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[9]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37" w:name="fnref14_1"/>
      <w:bookmarkEnd w:id="37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"fn14"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[14]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– усиление правовых гарантий дл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я уязвимых групп (молодёжь, женщины, инвалиды);</w:t>
      </w:r>
      <w:bookmarkStart w:id="38" w:name="fnref15_1"/>
      <w:bookmarkEnd w:id="38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"fn15"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[15]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39" w:name="fnref26"/>
      <w:bookmarkEnd w:id="39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"fn26"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[26]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40" w:name="fnref7_2"/>
      <w:bookmarkEnd w:id="40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"fn7"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[7]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– цифровизация сервисов содействия трудоустройству, расширение дистанционной работы;</w:t>
      </w:r>
      <w:bookmarkStart w:id="41" w:name="fnref18_1"/>
      <w:bookmarkEnd w:id="41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"fn18"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[18]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42" w:name="fnref19_1"/>
      <w:bookmarkEnd w:id="42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"fn19"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[19]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43" w:name="fnref16_2"/>
      <w:bookmarkEnd w:id="43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"fn16"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[16]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>– гармонизация отечественного законодательства с международными стандартами;</w:t>
      </w:r>
      <w:bookmarkStart w:id="44" w:name="fnref27"/>
      <w:bookmarkEnd w:id="44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"fn27"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[27]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45" w:name="fnref3_2"/>
      <w:bookmarkEnd w:id="45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"fn3"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[3]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46" w:name="fnref9_2"/>
      <w:bookmarkEnd w:id="46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"fn9"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[9]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– совершенствование образования и профессиональных программ.</w:t>
      </w:r>
      <w:bookmarkStart w:id="47" w:name="fnref12_1"/>
      <w:bookmarkEnd w:id="47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"fn12"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[12]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48" w:name="fnref4_2"/>
      <w:bookmarkEnd w:id="48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"fn4"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[4]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49" w:name="fnref10_2"/>
      <w:bookmarkEnd w:id="49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"fn10"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[10]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Заключение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  <w:t xml:space="preserve">Современный этап развития рынка труда России требует углублённого 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>осмысления проблем занятост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и и трудоустройства, обновления нормативной базы с учётом цифровизации, развития новых форм занятости и региональных особенностей. Только системный междисциплинарный подход позволит создать эффективную модель регулирования трудовых отношений, отвечающую вы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зовам времени и защищающую интересы участников рынка.</w:t>
      </w:r>
      <w:bookmarkStart w:id="50" w:name="fnref11_1"/>
      <w:bookmarkEnd w:id="50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"fn11"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[11]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51" w:name="fnref24_1"/>
      <w:bookmarkEnd w:id="51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"fn24"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[24]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52" w:name="fnref1_1"/>
      <w:bookmarkEnd w:id="52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"fn1"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[1]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  <w:bookmarkStart w:id="53" w:name="fnref4_3"/>
      <w:bookmarkEnd w:id="53"/>
      <w:r w:rsidRPr="005F3EA8">
        <w:rPr>
          <w:rFonts w:ascii="Times New Roman" w:hAnsi="Times New Roman" w:cs="Times New Roman"/>
          <w:sz w:val="28"/>
          <w:szCs w:val="28"/>
        </w:rPr>
        <w:fldChar w:fldCharType="begin"/>
      </w:r>
      <w:r w:rsidRPr="005F3EA8">
        <w:rPr>
          <w:rFonts w:ascii="Times New Roman" w:hAnsi="Times New Roman" w:cs="Times New Roman"/>
          <w:sz w:val="28"/>
          <w:szCs w:val="28"/>
        </w:rPr>
        <w:instrText xml:space="preserve"> HYPERLINK \l "fn4" \h </w:instrText>
      </w:r>
      <w:r w:rsidRPr="005F3EA8">
        <w:rPr>
          <w:rFonts w:ascii="Times New Roman" w:hAnsi="Times New Roman" w:cs="Times New Roman"/>
          <w:sz w:val="28"/>
          <w:szCs w:val="28"/>
        </w:rPr>
        <w:fldChar w:fldCharType="separate"/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t>[4]</w:t>
      </w:r>
      <w:r w:rsidRPr="005F3EA8">
        <w:rPr>
          <w:rFonts w:ascii="Times New Roman" w:eastAsia="inter" w:hAnsi="Times New Roman" w:cs="Times New Roman"/>
          <w:sz w:val="28"/>
          <w:szCs w:val="28"/>
          <w:vertAlign w:val="superscript"/>
        </w:rPr>
        <w:fldChar w:fldCharType="end"/>
      </w:r>
    </w:p>
    <w:p w:rsidR="00B43F6B" w:rsidRPr="005F3EA8" w:rsidRDefault="0037450A" w:rsidP="005F3EA8">
      <w:pPr>
        <w:spacing w:before="21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hAnsi="Times New Roman" w:cs="Times New Roman"/>
          <w:noProof/>
          <w:sz w:val="28"/>
          <w:szCs w:val="28"/>
        </w:rPr>
      </w:r>
      <w:r w:rsidRPr="005F3EA8">
        <w:rPr>
          <w:rFonts w:ascii="Times New Roman" w:hAnsi="Times New Roman" w:cs="Times New Roman"/>
          <w:noProof/>
          <w:sz w:val="28"/>
          <w:szCs w:val="28"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43F6B" w:rsidRPr="005F3EA8" w:rsidRDefault="0037450A" w:rsidP="005F3EA8">
      <w:pPr>
        <w:spacing w:after="2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Павловская О.Ю. Правовое регулирование занятости населения: учебник для вузов. — М.: </w:t>
      </w:r>
      <w:proofErr w:type="spellStart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Юрайт</w:t>
      </w:r>
      <w:proofErr w:type="spellEnd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, 2025. — 320 с.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Федеральный закон от 12.12.2023 № 565-ФЗ «О занятости населения в Российской Федерации» // Собрание законодательства Российской Федерации. — 2023. — 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№ 51. — Ст. 7777.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Трудовой кодекс Российской Федерации от 30.12.2001 № 197-ФЗ (в ред. от 01.09.2025) // Собрание законодательства Российской Федерации. — 2002. — № 1 (ч. 1). — Ст. 3.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Мачульская</w:t>
      </w:r>
      <w:proofErr w:type="spellEnd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Е. Е. Принципы правового регулирования отношений занятости // 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Право и государство. — 2025. — № 4. — С. 45–52.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Гусов А. Ю. Правовое регулирование обеспечения трудовой занятости: </w:t>
      </w:r>
      <w:proofErr w:type="spellStart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дис</w:t>
      </w:r>
      <w:proofErr w:type="spellEnd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. ... канд. </w:t>
      </w:r>
      <w:proofErr w:type="spellStart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юрид</w:t>
      </w:r>
      <w:proofErr w:type="spellEnd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. наук. — М., 2024. — 230 с.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Кутищева</w:t>
      </w:r>
      <w:proofErr w:type="spellEnd"/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А.А., Смирнова Е.А. Оценка развития платформенной занятости в России и за рубежом и особенности ее нормативно-правового регулирования // Экономика труда. — 2025. — № 4. — С. 102–116.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>Международная организация труда. Конвенция МОТ № 122 «О политике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в области занятости» (Женева, 1964) // Международное трудовое право: Тексты международных актов. — М.: Проспект, 2022. — С. 85–90.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Волков А.И. Правовые аспекты цифровизации занятости // Право и экономика. — 2025. — № 1. — С. 33–41.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Голубева Е.В. Правовое 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регулирование самозанятости в России // Трудовое право. — 2024. — № 3. — С. 42–48.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Демидова О.В. Правовые гарантии занятости молодежи // Юридическая наука. — 2023. — № 2. — С. 56–61.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Ефимов А.С. Правовое регулирование трудовых отношений в условиях цифровой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экономики // Право и государство. — 2025. — № 5. — С. 84–92.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Жуков А.В. Правовые проблемы трудоустройства выпускников вузов // Высшее образование в России. — 2024. — № 6. — С. 118–126.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Ковалев А.В. Правовое регулирование занятости в регионах России // Пра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во и экономика. — 2024. — № 3. — С. 77–85.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Кузнецов С.А. Правовые аспекты трудоустройства мигрантов // Право и государство. — 2025. — № 4. — С. 73–80.</w:t>
      </w:r>
    </w:p>
    <w:p w:rsidR="00B43F6B" w:rsidRPr="005F3EA8" w:rsidRDefault="0037450A" w:rsidP="005F3EA8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Лебедева Е.В. Правовое регулирование занятости в условиях цифровой трансформации // Трудовое право. — 202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4. — № 5. — С. 36–44.</w:t>
      </w:r>
    </w:p>
    <w:p w:rsidR="00B43F6B" w:rsidRPr="005F3EA8" w:rsidRDefault="0037450A" w:rsidP="005F3EA8">
      <w:pPr>
        <w:numPr>
          <w:ilvl w:val="0"/>
          <w:numId w:val="1"/>
        </w:numPr>
        <w:spacing w:before="21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Марков А.В. Правовые проблемы трудоустройства молодежи // Юридическая наука. — 2023. — № 3. — С. 41–47</w: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>Кузьмина В.В. Рынок труда: особенности и тенденции развития // Экономика. Налоги. Право. — 2020. — № 1. — С. 70–76.</w:t>
      </w:r>
      <w:r w:rsidRPr="005F3EA8">
        <w:rPr>
          <w:rFonts w:ascii="Times New Roman" w:hAnsi="Times New Roman" w:cs="Times New Roman"/>
          <w:noProof/>
          <w:sz w:val="28"/>
          <w:szCs w:val="28"/>
        </w:rPr>
      </w:r>
      <w:r w:rsidRPr="005F3EA8">
        <w:rPr>
          <w:rFonts w:ascii="Times New Roman" w:hAnsi="Times New Roman" w:cs="Times New Roman"/>
          <w:noProof/>
          <w:sz w:val="28"/>
          <w:szCs w:val="28"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  <w:r w:rsidRPr="005F3EA8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</w:p>
    <w:sectPr w:rsidR="00B43F6B" w:rsidRPr="005F3EA8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1BF1"/>
    <w:multiLevelType w:val="hybridMultilevel"/>
    <w:tmpl w:val="29983316"/>
    <w:lvl w:ilvl="0" w:tplc="39B6821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5E4EBB2">
      <w:numFmt w:val="decimal"/>
      <w:lvlText w:val=""/>
      <w:lvlJc w:val="left"/>
    </w:lvl>
    <w:lvl w:ilvl="2" w:tplc="9028EE3C">
      <w:numFmt w:val="decimal"/>
      <w:lvlText w:val=""/>
      <w:lvlJc w:val="left"/>
    </w:lvl>
    <w:lvl w:ilvl="3" w:tplc="FE5233FA">
      <w:numFmt w:val="decimal"/>
      <w:lvlText w:val=""/>
      <w:lvlJc w:val="left"/>
    </w:lvl>
    <w:lvl w:ilvl="4" w:tplc="664AA62A">
      <w:numFmt w:val="decimal"/>
      <w:lvlText w:val=""/>
      <w:lvlJc w:val="left"/>
    </w:lvl>
    <w:lvl w:ilvl="5" w:tplc="3D0C5328">
      <w:numFmt w:val="decimal"/>
      <w:lvlText w:val=""/>
      <w:lvlJc w:val="left"/>
    </w:lvl>
    <w:lvl w:ilvl="6" w:tplc="81A65B00">
      <w:numFmt w:val="decimal"/>
      <w:lvlText w:val=""/>
      <w:lvlJc w:val="left"/>
    </w:lvl>
    <w:lvl w:ilvl="7" w:tplc="98A8F424">
      <w:numFmt w:val="decimal"/>
      <w:lvlText w:val=""/>
      <w:lvlJc w:val="left"/>
    </w:lvl>
    <w:lvl w:ilvl="8" w:tplc="A606B010">
      <w:numFmt w:val="decimal"/>
      <w:lvlText w:val=""/>
      <w:lvlJc w:val="left"/>
    </w:lvl>
  </w:abstractNum>
  <w:abstractNum w:abstractNumId="1" w15:restartNumberingAfterBreak="0">
    <w:nsid w:val="444379CB"/>
    <w:multiLevelType w:val="hybridMultilevel"/>
    <w:tmpl w:val="4DD6A3EC"/>
    <w:lvl w:ilvl="0" w:tplc="3DA8AF3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D18487C">
      <w:numFmt w:val="decimal"/>
      <w:lvlText w:val=""/>
      <w:lvlJc w:val="left"/>
    </w:lvl>
    <w:lvl w:ilvl="2" w:tplc="1396BDB2">
      <w:numFmt w:val="decimal"/>
      <w:lvlText w:val=""/>
      <w:lvlJc w:val="left"/>
    </w:lvl>
    <w:lvl w:ilvl="3" w:tplc="DC2CFD32">
      <w:numFmt w:val="decimal"/>
      <w:lvlText w:val=""/>
      <w:lvlJc w:val="left"/>
    </w:lvl>
    <w:lvl w:ilvl="4" w:tplc="12FA439C">
      <w:numFmt w:val="decimal"/>
      <w:lvlText w:val=""/>
      <w:lvlJc w:val="left"/>
    </w:lvl>
    <w:lvl w:ilvl="5" w:tplc="27CAE330">
      <w:numFmt w:val="decimal"/>
      <w:lvlText w:val=""/>
      <w:lvlJc w:val="left"/>
    </w:lvl>
    <w:lvl w:ilvl="6" w:tplc="354E6E94">
      <w:numFmt w:val="decimal"/>
      <w:lvlText w:val=""/>
      <w:lvlJc w:val="left"/>
    </w:lvl>
    <w:lvl w:ilvl="7" w:tplc="A550710E">
      <w:numFmt w:val="decimal"/>
      <w:lvlText w:val=""/>
      <w:lvlJc w:val="left"/>
    </w:lvl>
    <w:lvl w:ilvl="8" w:tplc="88048E50">
      <w:numFmt w:val="decimal"/>
      <w:lvlText w:val=""/>
      <w:lvlJc w:val="left"/>
    </w:lvl>
  </w:abstractNum>
  <w:abstractNum w:abstractNumId="2" w15:restartNumberingAfterBreak="0">
    <w:nsid w:val="6DE2545E"/>
    <w:multiLevelType w:val="hybridMultilevel"/>
    <w:tmpl w:val="D2C685AC"/>
    <w:lvl w:ilvl="0" w:tplc="9E0CBD6C">
      <w:numFmt w:val="decimal"/>
      <w:lvlText w:val=""/>
      <w:lvlJc w:val="left"/>
    </w:lvl>
    <w:lvl w:ilvl="1" w:tplc="688AD352">
      <w:numFmt w:val="decimal"/>
      <w:lvlText w:val=""/>
      <w:lvlJc w:val="left"/>
    </w:lvl>
    <w:lvl w:ilvl="2" w:tplc="A4D2B57C">
      <w:numFmt w:val="decimal"/>
      <w:lvlText w:val=""/>
      <w:lvlJc w:val="left"/>
    </w:lvl>
    <w:lvl w:ilvl="3" w:tplc="0EF670FA">
      <w:numFmt w:val="decimal"/>
      <w:lvlText w:val=""/>
      <w:lvlJc w:val="left"/>
    </w:lvl>
    <w:lvl w:ilvl="4" w:tplc="91C0E37A">
      <w:numFmt w:val="decimal"/>
      <w:lvlText w:val=""/>
      <w:lvlJc w:val="left"/>
    </w:lvl>
    <w:lvl w:ilvl="5" w:tplc="7136ADE4">
      <w:numFmt w:val="decimal"/>
      <w:lvlText w:val=""/>
      <w:lvlJc w:val="left"/>
    </w:lvl>
    <w:lvl w:ilvl="6" w:tplc="B462C934">
      <w:numFmt w:val="decimal"/>
      <w:lvlText w:val=""/>
      <w:lvlJc w:val="left"/>
    </w:lvl>
    <w:lvl w:ilvl="7" w:tplc="48AAF432">
      <w:numFmt w:val="decimal"/>
      <w:lvlText w:val=""/>
      <w:lvlJc w:val="left"/>
    </w:lvl>
    <w:lvl w:ilvl="8" w:tplc="C7FC9DFE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6B"/>
    <w:rsid w:val="0037450A"/>
    <w:rsid w:val="005F3EA8"/>
    <w:rsid w:val="00871F44"/>
    <w:rsid w:val="0096020F"/>
    <w:rsid w:val="00B43F6B"/>
    <w:rsid w:val="00E1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2D7DF0"/>
  <w15:docId w15:val="{EBAB3970-7CC0-475A-BBBF-420DB150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honor</cp:lastModifiedBy>
  <cp:revision>3</cp:revision>
  <dcterms:created xsi:type="dcterms:W3CDTF">2025-11-11T20:10:00Z</dcterms:created>
  <dcterms:modified xsi:type="dcterms:W3CDTF">2025-11-11T20:10:00Z</dcterms:modified>
</cp:coreProperties>
</file>