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0" w:leftChars="0"/>
        <w:rPr/>
      </w:pPr>
      <w:bookmarkStart w:id="0" w:name="_GoBack"/>
      <w:bookmarkEnd w:id="0"/>
    </w:p>
    <w:p>
      <w:pPr>
        <w:pStyle w:val="style0"/>
        <w:ind w:left="0" w:leftChars="0"/>
        <w:rPr/>
      </w:pPr>
      <w:r>
        <w:t>Методы и приемы обогащения словарного запаса у детей подготовительной группы с ОНР через работу с антонимами и синонимами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Аннотация: В статье рассматриваются актуальные методы и приемы развития лексической стороны речи у детей подготовительной к школе группы с общим недоразвитием речи (ОНР). Особое внимание уделяется формированию антонимических и синонимических рядов как эффективному средству расширения словарного запаса, развития словесно-логического мышления и подготовки к освоению грамоты.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Ключевые слова: общее недоразвитие речи (ОНР), словарный запас, антонимы, синонимы, подготовительная группа, лексико-грамматический строй, методы коррекции.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Введение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Подготовка к школе детей с общим недоразвитием речи (ОНР) — одна из ключевых задач учителя-логопеда и воспитателей логопедической группы. У детей с ОНР III уровня, типичных для подготовительной группы, наблюдается несформированность всех компонентов речевой системы, среди которых бедность и неточность словарного запаса являются одной из наиболее стойких проблем.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Недостаточная сформированность лексики проявляется в трудностях подбора нужного слова, незнании многих слов, обозначающих признаки и действия предметов, в редком использовании синонимов и антонимов. Преодоление этого нарушения — важное условие успешного обучения в школе, так как именно богатый словарь служит основой для развития связной речи, грамматического строя и является фундаментом для овладения чтением и письмом.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Работа с антонимами и синонимами является мощным инструментом в решении этой задачи. Она не только количественно обогащает словарь ребенка, но и качественно его преобразует: учит точности словоупотребления, развивает чувство языка, формирует операции сравнения, анализа и синтеза.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Особенности словарного запаса у детей с ОНР и важность работы с антонимами и синонимами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Для детей с ОНР характерно: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· Ограниченность объема словаря.</w:t>
      </w:r>
    </w:p>
    <w:p>
      <w:pPr>
        <w:pStyle w:val="style0"/>
        <w:ind w:left="0" w:leftChars="0"/>
        <w:rPr/>
      </w:pPr>
      <w:r>
        <w:t>· Преобладание пассивного словаря над активным.</w:t>
      </w:r>
    </w:p>
    <w:p>
      <w:pPr>
        <w:pStyle w:val="style0"/>
        <w:ind w:left="0" w:leftChars="0"/>
        <w:rPr/>
      </w:pPr>
      <w:r>
        <w:t>· Неточное употребление слов, частые вербальные парафазии.</w:t>
      </w:r>
    </w:p>
    <w:p>
      <w:pPr>
        <w:pStyle w:val="style0"/>
        <w:ind w:left="0" w:leftChars="0"/>
        <w:rPr/>
      </w:pPr>
      <w:r>
        <w:t>· Трудности в усвоении слов обобщающего значения.</w:t>
      </w:r>
    </w:p>
    <w:p>
      <w:pPr>
        <w:pStyle w:val="style0"/>
        <w:ind w:left="0" w:leftChars="0"/>
        <w:rPr/>
      </w:pPr>
      <w:r>
        <w:t>· Несформированность семантических полей, то есть системных связей между словами.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Целенаправленная работа с антонимами (словами, противоположными по значению) и синонимами (словами, близкими по значению) позволяет: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1. Расширить номинативный и предикативный словарь (слова-предметы и слова-действия).</w:t>
      </w:r>
    </w:p>
    <w:p>
      <w:pPr>
        <w:pStyle w:val="style0"/>
        <w:ind w:left="0" w:leftChars="0"/>
        <w:rPr/>
      </w:pPr>
      <w:r>
        <w:t>2. Углубить понимание смысловых оттенков слов.</w:t>
      </w:r>
    </w:p>
    <w:p>
      <w:pPr>
        <w:pStyle w:val="style0"/>
        <w:ind w:left="0" w:leftChars="0"/>
        <w:rPr/>
      </w:pPr>
      <w:r>
        <w:t>3. Сформировать умение точно подбирать слова в зависимости от контекста.</w:t>
      </w:r>
    </w:p>
    <w:p>
      <w:pPr>
        <w:pStyle w:val="style0"/>
        <w:ind w:left="0" w:leftChars="0"/>
        <w:rPr/>
      </w:pPr>
      <w:r>
        <w:t>4. Развить логическое мышление через операции противопоставления и сравнения.</w:t>
      </w:r>
    </w:p>
    <w:p>
      <w:pPr>
        <w:pStyle w:val="style0"/>
        <w:ind w:left="0" w:leftChars="0"/>
        <w:rPr/>
      </w:pPr>
      <w:r>
        <w:t>5. Подготовить почву для усвоения грамоты, так как анализ смысловых отношений между словами тесно связан с языковым чутьем.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Методы и приемы обучения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Работа должна выстраиваться последовательно: от знакомства с антонимами к синонимам, от простых заданий к сложным, с обязательным опорой на наглядность и практические действия.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I. Этап работы с антонимами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1. Ввод понятия «слова-неприятели»: Используется игровой персонаж «Незнайка» или «Путаник», который постоянно все путает. Детям предлагается помочь ему и найти правильное, противоположное слово.</w:t>
      </w:r>
    </w:p>
    <w:p>
      <w:pPr>
        <w:pStyle w:val="style0"/>
        <w:ind w:left="0" w:leftChars="0"/>
        <w:rPr/>
      </w:pPr>
      <w:r>
        <w:t>2. Методы и приемы:</w:t>
      </w:r>
    </w:p>
    <w:p>
      <w:pPr>
        <w:pStyle w:val="style0"/>
        <w:ind w:left="0" w:leftChars="0"/>
        <w:rPr/>
      </w:pPr>
      <w:r>
        <w:t xml:space="preserve">   · Наглядное моделирование: Использование картинок-антипар, где изображены противоположные состояния (грязный/чистый, веселый/грустный, высокий/низкий).</w:t>
      </w:r>
    </w:p>
    <w:p>
      <w:pPr>
        <w:pStyle w:val="style0"/>
        <w:ind w:left="0" w:leftChars="0"/>
        <w:rPr/>
      </w:pPr>
      <w:r>
        <w:t xml:space="preserve">   · Дидактические игры:</w:t>
      </w:r>
    </w:p>
    <w:p>
      <w:pPr>
        <w:pStyle w:val="style0"/>
        <w:ind w:left="0" w:leftChars="0"/>
        <w:rPr/>
      </w:pPr>
      <w:r>
        <w:t xml:space="preserve">     · «Скажи наоборот»: Логопед бросает мяч ребенку и говорит: «Старый дом». Ребенок, возвращая мяч, отвечает: «Новый дом». (Холодный — горячий, день — ночь, поднимать — опускать).</w:t>
      </w:r>
    </w:p>
    <w:p>
      <w:pPr>
        <w:pStyle w:val="style0"/>
        <w:ind w:left="0" w:leftChars="0"/>
        <w:rPr/>
      </w:pPr>
      <w:r>
        <w:t xml:space="preserve">     · «Найди пару»: Детям раздаются картинки, им нужно найти «наоборотную» пару.</w:t>
      </w:r>
    </w:p>
    <w:p>
      <w:pPr>
        <w:pStyle w:val="style0"/>
        <w:ind w:left="0" w:leftChars="0"/>
        <w:rPr/>
      </w:pPr>
      <w:r>
        <w:t xml:space="preserve">     · «Закончи предложение»: «Сахар сладкий, а лимон ... (кислый). Слон большой, а мышка ... (маленькая)».</w:t>
      </w:r>
    </w:p>
    <w:p>
      <w:pPr>
        <w:pStyle w:val="style0"/>
        <w:ind w:left="0" w:leftChars="0"/>
        <w:rPr/>
      </w:pPr>
      <w:r>
        <w:t xml:space="preserve">   · Сравнение реальных предметов: Сравнить по длине два карандаша, по весу — два мяча, по температуре — две кружки с водой.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II. Этап работы с синонимами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1. Ввод понятия «слова-друзья»: Объясняется, что одни и те же предметы или действия можно назвать по-разному, но смысл останется похожим.</w:t>
      </w:r>
    </w:p>
    <w:p>
      <w:pPr>
        <w:pStyle w:val="style0"/>
        <w:ind w:left="0" w:leftChars="0"/>
        <w:rPr/>
      </w:pPr>
      <w:r>
        <w:t>2. Методы и приемы:</w:t>
      </w:r>
    </w:p>
    <w:p>
      <w:pPr>
        <w:pStyle w:val="style0"/>
        <w:ind w:left="0" w:leftChars="0"/>
        <w:rPr/>
      </w:pPr>
      <w:r>
        <w:t xml:space="preserve">   · Объяснение оттенков смысла: Почему «бежать» и «мчаться» — это слова-друзья, но «мчаться» — это значит бежать очень быстро.</w:t>
      </w:r>
    </w:p>
    <w:p>
      <w:pPr>
        <w:pStyle w:val="style0"/>
        <w:ind w:left="0" w:leftChars="0"/>
        <w:rPr/>
      </w:pPr>
      <w:r>
        <w:t xml:space="preserve">   · Лексический анализ текста: Чтение короткого текста (стихотворения, рассказа) и обсуждение, почему автор использовал именно это слово. («Птица летит» и «самолет летит» — можно ли сказать «птица парит»?).</w:t>
      </w:r>
    </w:p>
    <w:p>
      <w:pPr>
        <w:pStyle w:val="style0"/>
        <w:ind w:left="0" w:leftChars="0"/>
        <w:rPr/>
      </w:pPr>
      <w:r>
        <w:t xml:space="preserve">   · Дидактические игры:</w:t>
      </w:r>
    </w:p>
    <w:p>
      <w:pPr>
        <w:pStyle w:val="style0"/>
        <w:ind w:left="0" w:leftChars="0"/>
        <w:rPr/>
      </w:pPr>
      <w:r>
        <w:t xml:space="preserve">     · «Подбери другое слово»: К слову «большой» подобрать слова-друзья (огромный, громадный, великанский).</w:t>
      </w:r>
    </w:p>
    <w:p>
      <w:pPr>
        <w:pStyle w:val="style0"/>
        <w:ind w:left="0" w:leftChars="0"/>
        <w:rPr/>
      </w:pPr>
      <w:r>
        <w:t xml:space="preserve">     · «Исправь Незнайку»: Незнайка повторяет одно и то же слово: «Храбрый солдат. Храбрый поступок. Храбрый человек». Как ему помочь? (Смелый, отважный, доблестный).</w:t>
      </w:r>
    </w:p>
    <w:p>
      <w:pPr>
        <w:pStyle w:val="style0"/>
        <w:ind w:left="0" w:leftChars="0"/>
        <w:rPr/>
      </w:pPr>
      <w:r>
        <w:t xml:space="preserve">     · «Слова-помощники»: Подобрать как можно больше слов-признаков к предмету (дом — большой, кирпичный, многоэтажный, новый, красивый).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III. Интегрированные приемы для закрепления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На заключительном этапе эффективно использовать задания, объединяющие оба вида работы: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· Составление рассказов-описаний или рассказов-сравнений с использованием антонимов и синонимов. («У меня есть два друга. Один веселый, жизнерадостный, а другой — грустный, печальный»).</w:t>
      </w:r>
    </w:p>
    <w:p>
      <w:pPr>
        <w:pStyle w:val="style0"/>
        <w:ind w:left="0" w:leftChars="0"/>
        <w:rPr/>
      </w:pPr>
      <w:r>
        <w:t>· Работа с деформированными фразами: «Мальчик бежит быстро. Девочка идет ... (медленно)».</w:t>
      </w:r>
    </w:p>
    <w:p>
      <w:pPr>
        <w:pStyle w:val="style0"/>
        <w:ind w:left="0" w:leftChars="0"/>
        <w:rPr/>
      </w:pPr>
      <w:r>
        <w:t>· Творческие задания: «Нарисуй грустного и веселого клоуна. Как еще можно назвать веселого? (Радостный, смеющийся)».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Заключение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Систематическая и целенаправленная работа по обогащению словарного запаса детей подготовительной группы с ОНР через усвоение антонимических и синонимических отношений является неотъемлемой частью коррекционно-развивающего процесса. Использование разнообразных методов и приемов, основанных на игровой деятельности, наглядности и практическом опыте, позволяет не только количественно увеличить словарь ребенка, но и сформировать у него гибкие семантические связи, что является залогом успешного развития связной речи и профилактики нарушений письма и чтения в школьном возрасте.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---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Рекомендации для педагогов и родителей: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t>· Создавайте богатую речевую среду: читайте, обсуждайте, задавайте вопросы.</w:t>
      </w:r>
    </w:p>
    <w:p>
      <w:pPr>
        <w:pStyle w:val="style0"/>
        <w:ind w:left="0" w:leftChars="0"/>
        <w:rPr/>
      </w:pPr>
      <w:r>
        <w:t>· В быту сознательно используйте синонимы и антонимы, побуждая ребенка к подражанию.</w:t>
      </w:r>
    </w:p>
    <w:p>
      <w:pPr>
        <w:pStyle w:val="style0"/>
        <w:ind w:left="0" w:leftChars="0"/>
        <w:rPr/>
      </w:pPr>
      <w:r>
        <w:t>· Поощряйте любые попытки ребенка подобрать нужное слово.</w:t>
      </w:r>
    </w:p>
    <w:p>
      <w:pPr>
        <w:pStyle w:val="style0"/>
        <w:ind w:left="0" w:leftChars="0"/>
        <w:rPr/>
      </w:pPr>
      <w:r>
        <w:t>· Превращайте занятия в игру, чтобы поддерживать мотивацию и интерес ребенка.</w:t>
      </w:r>
    </w:p>
    <w:p>
      <w:pPr>
        <w:pStyle w:val="style0"/>
        <w:ind w:left="0" w:leftChars="0"/>
        <w:rPr/>
      </w:pPr>
      <w:r>
        <w:rPr>
          <w:lang w:val="en-US"/>
        </w:rPr>
        <w:t>Список литературы</w:t>
      </w:r>
    </w:p>
    <w:p>
      <w:pPr>
        <w:pStyle w:val="style0"/>
        <w:ind w:left="0" w:leftChars="0"/>
        <w:rPr/>
      </w:pPr>
    </w:p>
    <w:p>
      <w:pPr>
        <w:pStyle w:val="style0"/>
        <w:ind w:left="0" w:leftChars="0"/>
        <w:rPr/>
      </w:pPr>
      <w:r>
        <w:rPr>
          <w:lang w:val="en-US"/>
        </w:rPr>
        <w:t xml:space="preserve">1. Апресян Ю. Д. Лексическая семантика. Синонимические средства языка. — М.: Языки русской культуры, 1995. — 272 с.  </w:t>
      </w:r>
    </w:p>
    <w:p>
      <w:pPr>
        <w:pStyle w:val="style0"/>
        <w:ind w:left="0" w:leftChars="0"/>
        <w:rPr/>
      </w:pPr>
      <w:r>
        <w:rPr>
          <w:lang w:val="en-US"/>
        </w:rPr>
        <w:t xml:space="preserve">2. Гвоздев А. Н. Вопросы изучения детской речи. — М.: Просвещение, 1961. — 432 с.  </w:t>
      </w:r>
    </w:p>
    <w:p>
      <w:pPr>
        <w:pStyle w:val="style0"/>
        <w:ind w:left="0" w:leftChars="0"/>
        <w:rPr/>
      </w:pPr>
      <w:r>
        <w:rPr>
          <w:lang w:val="en-US"/>
        </w:rPr>
        <w:t xml:space="preserve">3. Лалаева Р. И. Нарушения речи у дошкольников: диагностика и коррекция. — СПб.: Союз, 2002. — 256 с.  </w:t>
      </w:r>
    </w:p>
    <w:p>
      <w:pPr>
        <w:pStyle w:val="style0"/>
        <w:ind w:left="0" w:leftChars="0"/>
        <w:rPr/>
      </w:pPr>
      <w:r>
        <w:rPr>
          <w:lang w:val="en-US"/>
        </w:rPr>
        <w:t xml:space="preserve">4. Новикова Е. Н. Развитие лексико-грамматического строя речи у детей с ОНР. — М.: Академия, 2012. — 176 с.  </w:t>
      </w:r>
    </w:p>
    <w:p>
      <w:pPr>
        <w:pStyle w:val="style0"/>
        <w:ind w:left="0" w:leftChars="0"/>
        <w:rPr/>
      </w:pPr>
      <w:r>
        <w:rPr>
          <w:lang w:val="en-US"/>
        </w:rPr>
        <w:t xml:space="preserve">5. Селиверстов В. И. Игры в логопедической работе с дошкольниками. — М.: Владос, 2000. — 144 с.  </w:t>
      </w:r>
    </w:p>
    <w:p>
      <w:pPr>
        <w:pStyle w:val="style0"/>
        <w:ind w:left="0" w:leftChars="0"/>
        <w:rPr/>
      </w:pPr>
      <w:r>
        <w:rPr>
          <w:lang w:val="en-US"/>
        </w:rPr>
        <w:t xml:space="preserve">6. Ткаченко Т. А. Диагностика и коррекция нарушений словаря у дошкольников. — М.: АРКТИ, 2010. — 112 с.  </w:t>
      </w:r>
    </w:p>
    <w:p>
      <w:pPr>
        <w:pStyle w:val="style0"/>
        <w:ind w:left="0" w:leftChars="0"/>
        <w:rPr/>
      </w:pPr>
      <w:r>
        <w:rPr>
          <w:lang w:val="en-US"/>
        </w:rPr>
        <w:t xml:space="preserve">7. Уфимцева А. А. Лексика в языковом сознании. — М.: Школа «Языки русской культуры», 1996. — 336 с.  </w:t>
      </w:r>
    </w:p>
    <w:p>
      <w:pPr>
        <w:pStyle w:val="style0"/>
        <w:ind w:left="0" w:leftChars="0"/>
        <w:rPr/>
      </w:pPr>
      <w:r>
        <w:rPr>
          <w:lang w:val="en-US"/>
        </w:rPr>
        <w:t xml:space="preserve">8. Ушакова О. С. Развитие речи детей 5–7 лет: диагностика и коррекция. — М.: Книголюб, 2005. — 208 с.  </w:t>
      </w:r>
    </w:p>
    <w:p>
      <w:pPr>
        <w:pStyle w:val="style0"/>
        <w:ind w:left="0" w:leftChars="0"/>
        <w:rPr/>
      </w:pPr>
      <w:r>
        <w:rPr>
          <w:lang w:val="en-US"/>
        </w:rPr>
        <w:t xml:space="preserve">9. Филичева Т. Б., Чиркина Г. В. Программа логопедической работы по преодолению общего недоразвития речи у детей 4–7 лет. — 3-е изд., испр. и доп. — М.: Просвещение, 2020. — 256 с.  </w:t>
      </w:r>
    </w:p>
    <w:p>
      <w:pPr>
        <w:pStyle w:val="style0"/>
        <w:ind w:left="0" w:leftChars="0"/>
        <w:rPr/>
      </w:pPr>
      <w:r>
        <w:rPr>
          <w:lang w:val="en-US"/>
        </w:rPr>
        <w:t>10. Шаховская С. Н. Особенности формирования лексико-семантической системы у детей с ОНР // Дефектология. — 2021. — № 2. — С. 45–53.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936</Words>
  <Characters>6301</Characters>
  <Application>WPS Office</Application>
  <Paragraphs>91</Paragraphs>
  <CharactersWithSpaces>7294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2025-11-13T11:23:42Z</dcterms:created>
  <dc:creator>M2101K6G</dc:creator>
  <lastModifiedBy>M2101K6G</lastModifiedBy>
  <dcterms:modified xsi:type="dcterms:W3CDTF">2025-11-13T11:29:22Z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1fdcba7c5d29424294595b8bcc91c001</vt:lpwstr>
  </property>
</Properties>
</file>