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1A1A1A"/>
          <w:sz w:val="24"/>
        </w:rPr>
        <w:t xml:space="preserve">Коррекционно-развивающие занятия учителя-дефектолога с детьми с ОВЗ в школах  и взаимодействие с ТПМПК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ind w:left="0" w:right="0" w:firstLine="0"/>
        <w:jc w:val="right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 w:val="false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sz w:val="24"/>
        </w:rPr>
        <w:t xml:space="preserve">Щепетнова Е.Н., учитель-дефектолог,</w:t>
      </w:r>
      <w:r>
        <w:rPr>
          <w:rFonts w:ascii="Times New Roman" w:hAnsi="Times New Roman" w:cs="Times New Roman" w:eastAsia="Times New Roman"/>
          <w:b w:val="false"/>
          <w:sz w:val="24"/>
        </w:rPr>
      </w:r>
    </w:p>
    <w:p>
      <w:pPr>
        <w:ind w:left="0" w:right="0" w:firstLine="0"/>
        <w:jc w:val="right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b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sz w:val="24"/>
          <w:highlight w:val="none"/>
        </w:rPr>
        <w:t xml:space="preserve">МБОУ «ОШ №23 для обучающихся с ОВЗ»</w:t>
      </w:r>
      <w:r>
        <w:rPr>
          <w:rFonts w:ascii="Times New Roman" w:hAnsi="Times New Roman" w:cs="Times New Roman" w:eastAsia="Times New Roman"/>
          <w:b w:val="false"/>
          <w:sz w:val="24"/>
          <w:highlight w:val="none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Сегодня особое внимание уделяется инклюзивному образованию, позволяющему детям с особыми образовательными потребностями получать качественное обучение наряду со сверстниками. Одним из ключевых элементов такого подхода являются коррекционно-развивающие заня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тия, проводимые учителями-дефектологами непосредственно в школьных учреждениях.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Основные направления работы дефектологов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Учителя-дефектологи реализуют комплексные программы, включающие работу над различными аспектами развития учащихся с ограниченными возможностями здоровья (ОВЗ):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Развитие когнитивных способностей: занятия направлены на формирование навыков восприятия, внимания, памяти и мышления.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Формирование социально-коммуникативных компетенций: дети осваивают способы эффективного общения и взаимодействуют с окружающими людьми.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Психологическая поддержка: педагоги оказывают помощь учащимся в эмоциональной сфере, способствуют снижению тревожности и повышению уверенности в себе.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Обучение методикам самостоятельной учебной деятельности: школьники приобретают умения планирования учебного процесса, самоконтроля и саморегуляции.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Практическое применение методик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Занятия проводятся как индивидуальные, так и в малых группах, что способствует созданию комфортных условий для усвоения материала каждым ребенком. Преподаватели используют современные технологии и методики, разработанные специально для работы с детьми с ос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обенностями развития.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Благодаря таким программам дети получают дополнительные возможности для полноценного освоения школьной программы, укрепления социальных связей и подготовки к дальнейшей жизни вне школы.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Эти мероприятия делают значительный вклад в процесс адаптации и самореализации школьников с ограничениями здоровья, обеспечивая равенство образовательных возможностей для всех учеников.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Взаимодействие дефектолога с территориальной психолого-медико-педагогической комиссией (ТПМПК) и психологическими центрами представляет собой важный аспект профессиональной деятельности специалиста, занимающегося коррекционной работой с детьми, имеющими на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рушения развития. Рассмотрим подробнее каждый этап этого взаимодействия.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Этапы взаимодействия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1. Диагностика и оценка ребенка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Дефектолог проводит первичное обследование ребенка, выявляя особенности его развития, уровень когнитивных способностей, эмоционально-личностные характеристики и поведение. Полученные данные позволяют определить необходимость направления ребенка на консульт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ацию в ТПМК или психологический центр.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2. Направление на комиссию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При наличии показаний ребенок направляется на комплексную диагностику в ТПМПК. Это специализированный орган, состоящий из врачей, педагогов и психологов, которые проводят всестороннее исследование состояния здоровья и уровня развития ребенка. Результаты ди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агностики используются для разработки индивидуальной программы реабилитации и коррекции.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3. Консультация и рекомендации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После прохождения комиссии ребенку выдаются рекомендации по дальнейшему сопровождению и обучению. Эти рекомендации включают: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Формирование индивидуального образовательного маршрута.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Подбор специальных образовательных учреждений.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- Назначение специализированных занятий с педагогами-дефектологами, логопедами, психологами и другими специалистами.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4. Реализация рекомендаций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Дефектолог совместно с родителями реализует рекомендованную программу, организуя занятия, направленные на развитие речи, моторики, познавательных процессов и социальных навыков. Регулярное взаимодействие с ребенком позволяет отслеживать динамику его развит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ия и вносить необходимые коррективы в образовательный процесс.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5. Обратная связь и мониторинг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Обратная связь осуществляется путем регулярных встреч с представителями ТПМПК и психологического центра. Специалисты оценивают эффективность проводимой работы, вносят изменения в программу при необходимости и предоставляют родителям дополнительную поддержк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у и консультации.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Заключение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Таким образом, взаимодействие дефектолога с ТПМПК и психологическим центром играет ключевую роль в обеспечении качественного сопровождения детей с особыми потребностями. Комплексный подход, включающий диагностику, разработку индивидуальных программ и регул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ярный мониторинг результатов, способствует успешному развитию и социализации каждого ребенка.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p>
      <w:pPr>
        <w:jc w:val="center"/>
        <w:spacing w:lineRule="auto" w:line="276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  <w:t xml:space="preserve">Литература</w:t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Дубровина И. В. Психокоррекционная и развивающая работа с детьми. –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ind w:left="72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М., 1999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Забрамная С. Д. Изучаем обучая. - М., 2002</w:t>
      </w: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Левченко И. Ю., Приходько О. Г. Технологии обучения и воспитания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ind w:left="720" w:right="0" w:firstLine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детей с нарушениями опорно-двигательного аппарата. – М., 2001</w:t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Маллер А. Р. Ребенок с ограниченными возможностями. – М., 2002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Маллер А. Р. Ребенок с ограниченными возможностями. – М., 2002</w:t>
      </w: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p>
      <w:pPr>
        <w:pStyle w:val="662"/>
        <w:numPr>
          <w:ilvl w:val="0"/>
          <w:numId w:val="6"/>
        </w:numPr>
        <w:ind w:right="0"/>
        <w:jc w:val="both"/>
        <w:spacing w:lineRule="auto" w:line="276" w:after="0" w:before="0"/>
        <w:shd w:val="clear" w:color="FFFFFF"/>
        <w:rPr>
          <w:rFonts w:ascii="Times New Roman" w:hAnsi="Times New Roman" w:cs="Times New Roman" w:eastAsia="Times New Roman"/>
          <w:color w:val="1A1A1A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Специальная педагогика / Под ред. Назаровой Н. М. – М., 2000</w:t>
      </w:r>
      <w:r>
        <w:rPr>
          <w:rFonts w:ascii="Times New Roman" w:hAnsi="Times New Roman" w:cs="Times New Roman" w:eastAsia="Times New Roman"/>
          <w:color w:val="1A1A1A"/>
          <w:sz w:val="24"/>
        </w:rPr>
        <w:t xml:space="preserve">Специальная педагогика / Под ред. Назаровой Н. М. – М., 2000</w:t>
      </w:r>
      <w:r>
        <w:rPr>
          <w:rFonts w:ascii="Times New Roman" w:hAnsi="Times New Roman" w:cs="Times New Roman" w:eastAsia="Times New Roman"/>
          <w:color w:val="1A1A1A"/>
          <w:sz w:val="24"/>
        </w:rPr>
      </w:r>
      <w:r>
        <w:rPr>
          <w:rFonts w:ascii="Times New Roman" w:hAnsi="Times New Roman" w:cs="Times New Roman" w:eastAsia="Times New Roman"/>
          <w:color w:val="1A1A1A"/>
          <w:sz w:val="24"/>
        </w:rPr>
      </w:r>
    </w:p>
    <w:sectPr>
      <w:footnotePr/>
      <w:endnotePr/>
      <w:type w:val="nextPage"/>
      <w:pgSz w:w="11906" w:h="16838" w:orient="portrait"/>
      <w:pgMar w:top="1134" w:right="850" w:bottom="567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503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2"/>
      <w:szCs w:val="22"/>
      <w:lang w:val="ru-RU" w:bidi="ar-SA" w:eastAsia="en-US"/>
    </w:rPr>
    <w:pPr>
      <w:spacing w:lineRule="auto" w:line="276" w:after="200"/>
    </w:p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Без интервала"/>
    <w:next w:val="826"/>
    <w:link w:val="822"/>
    <w:rPr>
      <w:sz w:val="22"/>
      <w:szCs w:val="22"/>
      <w:lang w:val="ru-RU" w:bidi="ar-SA" w:eastAsia="en-US"/>
    </w:rPr>
  </w:style>
  <w:style w:type="table" w:styleId="827">
    <w:name w:val="Сетка таблицы"/>
    <w:basedOn w:val="824"/>
    <w:next w:val="827"/>
    <w:link w:val="822"/>
    <w:pPr>
      <w:spacing w:lineRule="auto" w:line="240" w:after="0"/>
    </w:pPr>
    <w:tblPr/>
  </w:style>
  <w:style w:type="paragraph" w:styleId="828">
    <w:name w:val="Table Contents"/>
    <w:basedOn w:val="822"/>
    <w:next w:val="828"/>
    <w:link w:val="822"/>
    <w:rPr>
      <w:rFonts w:ascii="Times New Roman" w:hAnsi="Times New Roman" w:eastAsia="Andale Sans UI"/>
      <w:sz w:val="24"/>
      <w:szCs w:val="24"/>
      <w:lang w:val="en-US" w:eastAsia="en-US"/>
    </w:rPr>
    <w:pPr>
      <w:spacing w:lineRule="auto" w:line="240" w:after="0"/>
      <w:widowControl w:val="off"/>
      <w:suppressLineNumbers/>
    </w:pPr>
  </w:style>
  <w:style w:type="character" w:styleId="829" w:default="1">
    <w:name w:val="Default Paragraph Font"/>
    <w:uiPriority w:val="1"/>
    <w:semiHidden/>
    <w:unhideWhenUsed/>
  </w:style>
  <w:style w:type="numbering" w:styleId="830" w:default="1">
    <w:name w:val="No List"/>
    <w:uiPriority w:val="99"/>
    <w:semiHidden/>
    <w:unhideWhenUsed/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2025-12-04T13:22:26Z</dcterms:modified>
</cp:coreProperties>
</file>