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FF" w:rsidRPr="00034FFF" w:rsidRDefault="00034FFF" w:rsidP="00034FFF">
      <w:pPr>
        <w:jc w:val="center"/>
        <w:rPr>
          <w:rFonts w:ascii="Times New Roman" w:hAnsi="Times New Roman"/>
          <w:b/>
          <w:sz w:val="28"/>
          <w:szCs w:val="28"/>
        </w:rPr>
      </w:pPr>
      <w:r w:rsidRPr="00034FFF">
        <w:rPr>
          <w:rFonts w:ascii="Times New Roman" w:hAnsi="Times New Roman"/>
          <w:b/>
          <w:sz w:val="28"/>
          <w:szCs w:val="28"/>
        </w:rPr>
        <w:t>ПРОБЛЕМЫ И ПЕРСПЕКТИВЫ ДИФФЕРЕНЦИАЦИИ УГОЛОВНО-ПРАВОВЫХ ПОСЛЕДСТВИЙ СУДИМОСТИ</w:t>
      </w:r>
    </w:p>
    <w:p w:rsidR="00E95F28" w:rsidRPr="00E95F28" w:rsidRDefault="00E95F28" w:rsidP="00E95F28">
      <w:pPr>
        <w:shd w:val="clear" w:color="auto" w:fill="FFFFFF"/>
        <w:spacing w:before="240" w:after="240" w:line="420" w:lineRule="atLeast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95F28">
        <w:rPr>
          <w:rFonts w:ascii="Times New Roman" w:hAnsi="Times New Roman"/>
          <w:b/>
          <w:bCs/>
          <w:i/>
          <w:iCs/>
          <w:sz w:val="28"/>
          <w:szCs w:val="28"/>
        </w:rPr>
        <w:t xml:space="preserve">Багиров </w:t>
      </w:r>
      <w:proofErr w:type="spellStart"/>
      <w:r w:rsidRPr="00E95F28">
        <w:rPr>
          <w:rFonts w:ascii="Times New Roman" w:hAnsi="Times New Roman"/>
          <w:b/>
          <w:bCs/>
          <w:i/>
          <w:iCs/>
          <w:sz w:val="28"/>
          <w:szCs w:val="28"/>
        </w:rPr>
        <w:t>Руфат</w:t>
      </w:r>
      <w:proofErr w:type="spellEnd"/>
      <w:r w:rsidRPr="00E95F2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95F28">
        <w:rPr>
          <w:rFonts w:ascii="Times New Roman" w:hAnsi="Times New Roman"/>
          <w:b/>
          <w:bCs/>
          <w:i/>
          <w:iCs/>
          <w:sz w:val="28"/>
          <w:szCs w:val="28"/>
        </w:rPr>
        <w:t>Асим</w:t>
      </w:r>
      <w:proofErr w:type="spellEnd"/>
      <w:r w:rsidRPr="00E95F2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95F28">
        <w:rPr>
          <w:rFonts w:ascii="Times New Roman" w:hAnsi="Times New Roman"/>
          <w:b/>
          <w:bCs/>
          <w:i/>
          <w:iCs/>
          <w:sz w:val="28"/>
          <w:szCs w:val="28"/>
        </w:rPr>
        <w:t>оглы</w:t>
      </w:r>
      <w:proofErr w:type="spellEnd"/>
      <w:r w:rsidRPr="00E95F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E95F28">
        <w:rPr>
          <w:rFonts w:ascii="Times New Roman" w:hAnsi="Times New Roman"/>
          <w:i/>
          <w:sz w:val="28"/>
          <w:szCs w:val="28"/>
        </w:rPr>
        <w:t>Студент направления «Юриспруденция» (профиль «Уголовное право и криминология; уголовно-исполнительное право»)</w:t>
      </w:r>
      <w:r w:rsidRPr="00E95F28">
        <w:rPr>
          <w:rFonts w:ascii="Times New Roman" w:hAnsi="Times New Roman"/>
          <w:i/>
          <w:sz w:val="28"/>
          <w:szCs w:val="28"/>
        </w:rPr>
        <w:br/>
        <w:t>Образовательное частное учреждение высшего образования «Международный юридический институт»,</w:t>
      </w:r>
      <w:r w:rsidRPr="00E95F28">
        <w:rPr>
          <w:rFonts w:ascii="Times New Roman" w:hAnsi="Times New Roman"/>
          <w:i/>
          <w:sz w:val="28"/>
          <w:szCs w:val="28"/>
        </w:rPr>
        <w:br/>
        <w:t>Россия, г. Москва</w:t>
      </w:r>
    </w:p>
    <w:p w:rsidR="00034FFF" w:rsidRPr="00034FFF" w:rsidRDefault="00034FFF" w:rsidP="00034FF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4FFF">
        <w:rPr>
          <w:rFonts w:ascii="Times New Roman" w:hAnsi="Times New Roman"/>
          <w:b/>
          <w:sz w:val="28"/>
          <w:szCs w:val="28"/>
          <w:lang w:val="en-US"/>
        </w:rPr>
        <w:t>PROBLEMS AND PROSPECTS FOR DIFFERENTIATION OF CRIMINAL LEGAL CONSEQUENCES OF A CRIMINAL RECORD</w:t>
      </w:r>
    </w:p>
    <w:p w:rsidR="00034FFF" w:rsidRPr="00E95F28" w:rsidRDefault="00034FFF" w:rsidP="00E95F2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95F28" w:rsidRPr="00E95F28" w:rsidRDefault="00E95F28" w:rsidP="00E95F28">
      <w:pPr>
        <w:shd w:val="clear" w:color="auto" w:fill="FFFFFF"/>
        <w:spacing w:before="240" w:after="240" w:line="420" w:lineRule="atLeast"/>
        <w:jc w:val="right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proofErr w:type="spellStart"/>
      <w:r w:rsidRPr="00E95F28">
        <w:rPr>
          <w:rFonts w:ascii="Times New Roman" w:hAnsi="Times New Roman"/>
          <w:i/>
          <w:sz w:val="28"/>
          <w:szCs w:val="28"/>
          <w:lang w:val="en-US"/>
        </w:rPr>
        <w:t>Bagirov</w:t>
      </w:r>
      <w:proofErr w:type="spellEnd"/>
      <w:r w:rsidRPr="00E95F2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E95F28">
        <w:rPr>
          <w:rFonts w:ascii="Times New Roman" w:hAnsi="Times New Roman"/>
          <w:i/>
          <w:sz w:val="28"/>
          <w:szCs w:val="28"/>
          <w:lang w:val="en-US"/>
        </w:rPr>
        <w:t>Rufat</w:t>
      </w:r>
      <w:proofErr w:type="spellEnd"/>
      <w:r w:rsidRPr="00E95F2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E95F28">
        <w:rPr>
          <w:rFonts w:ascii="Times New Roman" w:hAnsi="Times New Roman"/>
          <w:i/>
          <w:sz w:val="28"/>
          <w:szCs w:val="28"/>
          <w:lang w:val="en-US"/>
        </w:rPr>
        <w:t>Asim</w:t>
      </w:r>
      <w:proofErr w:type="spellEnd"/>
      <w:r w:rsidRPr="00E95F2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E95F28">
        <w:rPr>
          <w:rFonts w:ascii="Times New Roman" w:hAnsi="Times New Roman"/>
          <w:i/>
          <w:sz w:val="28"/>
          <w:szCs w:val="28"/>
          <w:lang w:val="en-US"/>
        </w:rPr>
        <w:t>ogly</w:t>
      </w:r>
      <w:proofErr w:type="spellEnd"/>
      <w:r w:rsidRPr="00E95F28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r w:rsidRPr="00034FFF">
        <w:rPr>
          <w:rFonts w:ascii="Times New Roman" w:hAnsi="Times New Roman"/>
          <w:bCs/>
          <w:i/>
          <w:iCs/>
          <w:sz w:val="28"/>
          <w:szCs w:val="28"/>
          <w:lang w:val="en-US"/>
        </w:rPr>
        <w:t>Student of the field "Jurisprudence" (specialization "Criminal Law and Criminology; Penal Law")</w:t>
      </w:r>
      <w:r w:rsidRPr="00034FFF">
        <w:rPr>
          <w:rFonts w:ascii="Times New Roman" w:hAnsi="Times New Roman"/>
          <w:bCs/>
          <w:i/>
          <w:iCs/>
          <w:sz w:val="28"/>
          <w:szCs w:val="28"/>
          <w:lang w:val="en-US"/>
        </w:rPr>
        <w:br/>
        <w:t>Private Educational Institution of Higher Education "International Law Institute",</w:t>
      </w:r>
      <w:r w:rsidRPr="00034FFF">
        <w:rPr>
          <w:rFonts w:ascii="Times New Roman" w:hAnsi="Times New Roman"/>
          <w:bCs/>
          <w:i/>
          <w:iCs/>
          <w:sz w:val="28"/>
          <w:szCs w:val="28"/>
          <w:lang w:val="en-US"/>
        </w:rPr>
        <w:br/>
        <w:t>Russia, Moscow</w:t>
      </w:r>
    </w:p>
    <w:p w:rsidR="00E95F28" w:rsidRDefault="00E95F28" w:rsidP="00E95F28">
      <w:pPr>
        <w:shd w:val="clear" w:color="auto" w:fill="FFFFFF"/>
        <w:spacing w:before="240" w:after="240" w:line="4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95F28">
        <w:rPr>
          <w:rFonts w:ascii="Times New Roman" w:hAnsi="Times New Roman"/>
          <w:b/>
          <w:sz w:val="28"/>
          <w:szCs w:val="28"/>
        </w:rPr>
        <w:t>АННОТАЦИЯ</w:t>
      </w:r>
    </w:p>
    <w:p w:rsidR="00034FFF" w:rsidRPr="00034FFF" w:rsidRDefault="00034FFF" w:rsidP="00034FFF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В статье рассматривается проблема избыточной унификации уголовно-правовых последствий судимости в российском законодательстве. Проводится анализ действующей системы последствий (учет при рецидиве, назначении наказания, освобождении от ответственности), которая недостаточно учитывает характер и степень общественной опасности предыдущего преступления, а также личность осужденного. На основе сравнительно-правового анализа и исторического подхода доказывается необходимость введения более гибкой, градуированной системы уголовно-правовых последствий судимости, которая соответствовала бы принципам справедливости, индивидуализации ответственности и эффективной ресоциализации.</w:t>
      </w:r>
    </w:p>
    <w:p w:rsidR="00E95F28" w:rsidRPr="00034FFF" w:rsidRDefault="00E95F28" w:rsidP="00E95F28">
      <w:pPr>
        <w:shd w:val="clear" w:color="auto" w:fill="FFFFFF"/>
        <w:spacing w:before="240" w:after="240" w:line="420" w:lineRule="atLeas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34FFF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034FFF" w:rsidRPr="00034FFF" w:rsidRDefault="00034FFF" w:rsidP="00034FFF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article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discusses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problem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excessive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unification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criminal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legal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consequences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a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criminal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record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Russian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legislation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analysis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made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current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system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consequences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accounting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for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recidivism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sentencing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exemption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from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liability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),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which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insufficiently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proofErr w:type="gram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takes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into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account</w:t>
      </w:r>
      <w:proofErr w:type="spellEnd"/>
      <w:proofErr w:type="gram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nature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and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degree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public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danger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previous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crime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well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personality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convict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Based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comparative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legal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analysis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and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a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historical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approach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necessity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introducing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a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more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flexible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graduated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system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criminal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legal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consequences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a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criminal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record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proved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which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would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correspond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to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the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principles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justice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individualization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of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responsibility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and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effective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resocialization</w:t>
      </w:r>
      <w:proofErr w:type="spellEnd"/>
      <w:r w:rsidRPr="00034FFF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>Ключевые слова: 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судимость, уголовно-правовые последствия, рецидив, дифференциация ответственности, индивидуализация наказания, категория преступления, погашение судимости.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val="en-US" w:eastAsia="ru-RU"/>
        </w:rPr>
      </w:pPr>
      <w:r w:rsidRPr="00034FFF">
        <w:rPr>
          <w:rFonts w:ascii="Times New Roman" w:eastAsia="Times New Roman" w:hAnsi="Times New Roman"/>
          <w:b/>
          <w:color w:val="0F1115"/>
          <w:sz w:val="28"/>
          <w:szCs w:val="28"/>
          <w:lang w:val="en-US" w:eastAsia="ru-RU"/>
        </w:rPr>
        <w:t>Keywords: 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val="en-US" w:eastAsia="ru-RU"/>
        </w:rPr>
        <w:t>criminal record, criminal-legal consequences, recidivism, differentiation of responsibility, individualization of punishment, category of crime, expungement of a criminal record.</w:t>
      </w:r>
    </w:p>
    <w:p w:rsidR="00E95F28" w:rsidRPr="00034FFF" w:rsidRDefault="00E95F28" w:rsidP="008F0F3B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Институт судимости в российском уголовном праве выполняет ключевую функцию в механизме дифференциации ответственности, выступая юридическим фактором, усиливающим уголовно-правовое воздействие при совершении нового преступления. Однако действующая система уголовно-правовых последствий судимости, закрепленная в статьях 18, 63, 68, 75, 76 Уголовного кодекса Российской Федерации, характеризуется значительной степенью унификации и недостаточной гибкостью. Это приводит к ситуациям, когда правовые последствия одинаково или схожим образом применяются к лицам, совершившим в прошлом существенно различающиеся по степени общественной опасности деяния, что ставит под сомнение соответствие такого подхода принципам справедливости и индивидуализации ответственности.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Основные проблемы действующей системы уголовно-правовых последствий судимости сводятся к следующему:</w:t>
      </w:r>
    </w:p>
    <w:p w:rsidR="00034FFF" w:rsidRDefault="00034FFF" w:rsidP="00034FF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>Жесткость и формализм при определении рецидива.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 Признание рецидива преступлений (ст. 18 УК РФ) носит формальный характер и зависит 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lastRenderedPageBreak/>
        <w:t xml:space="preserve">исключительно от факта наличия непогашенной или неснятой судимости за умышленное преступление и категории нового деяния. 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При этом не учитывается: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- к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онкретный характер предыдущего преступления. Судимость за умышленное причинение легкого вреда здоровью и за разбойное нападение при прочих равных условиях могут привести к одинаковой квалификации рецидива (простой), хотя степень устойчивости противоправной направленности личности в этих случаях кардинально различается.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- в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ремя, прошедшее после предыдущего осуждения. Лицо, совершившее новое преступление через год после освобождения, и лицо, совершившее его через десять лет, с точки зрения закона о рецидиве находятся в равном положении, если срок судимости не истек.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- в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озраст на момент предыдущего осуждения. Учет судимости за преступления, совершенные в несовершеннолетнем возрасте, при признании рецидива исключен, однако в иных уголовно-правовых последствиях (отягчающее обстоятельство) это ограничение не действует, что создает противоречие.</w:t>
      </w:r>
    </w:p>
    <w:p w:rsidR="00034FFF" w:rsidRPr="00034FFF" w:rsidRDefault="00034FFF" w:rsidP="00034FF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>«Все или ничего» в ограничении освобождения от уголовной ответственности.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 Наличие любой непогашенной судимости является абсолютным препятствием для освобождения от уголовной ответственности в связи с деятельным раскаянием (ст. 75 УК РФ) или примирением с потерпевшим (ст. 76 УК РФ). Данный подход не проводит различий между лицом, имеющим судимость за мелкую кражу десятилетней давности и полностью исправившимся, и лицом, недавно освободившимся после отбытия наказания за тяжкое насильственное преступление. Такая безусловная преграда лишает суд возможности оценить реальную степень исправления и социальной адаптации лица, совершившего новое, зачастую малозначительное преступление.</w:t>
      </w:r>
    </w:p>
    <w:p w:rsidR="00034FFF" w:rsidRPr="00034FFF" w:rsidRDefault="00034FFF" w:rsidP="00034FF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>Унификация правил назначения наказания при рецидиве.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 Статья 68 УК РФ устанавливает единое правило о неприменении более мягкого вида наказания и о минимальном размере наказания (не менее 1/3 от максимального 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lastRenderedPageBreak/>
        <w:t>срока) для </w:t>
      </w:r>
      <w:r w:rsidRPr="00034FFF">
        <w:rPr>
          <w:rFonts w:ascii="Times New Roman" w:eastAsia="Times New Roman" w:hAnsi="Times New Roman"/>
          <w:i/>
          <w:iCs/>
          <w:color w:val="0F1115"/>
          <w:sz w:val="28"/>
          <w:szCs w:val="28"/>
          <w:lang w:eastAsia="ru-RU"/>
        </w:rPr>
        <w:t>любого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 вида рецидива. При этом дифференциация между простым, опасным и особо опасным рецидивом не влияет на количественные параметры этого правила, а лишь на вид исправительного учреждения (ст. 58 УК РФ). Система не предусматривает более мягких правил для рецидива, образованного преступлениями небольшой или средней тяжести, что могло бы способствовать индивидуализации.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Для наглядного отражения указанных проблем и возможных направлений дифференциации предлагается следующая аналитическая таблица.</w:t>
      </w:r>
    </w:p>
    <w:p w:rsidR="00034FFF" w:rsidRDefault="00034FFF" w:rsidP="00034FFF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9A2785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1A415C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034FFF" w:rsidRPr="00034FFF" w:rsidRDefault="00034FFF" w:rsidP="00034FFF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34FFF">
        <w:rPr>
          <w:rFonts w:ascii="Times New Roman" w:hAnsi="Times New Roman"/>
          <w:b/>
          <w:sz w:val="28"/>
          <w:szCs w:val="28"/>
        </w:rPr>
        <w:t>Проблемы унификации и предложения по дифференциации уголовно-правовых последствий судимости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2178"/>
        <w:gridCol w:w="5653"/>
      </w:tblGrid>
      <w:tr w:rsidR="00034FFF" w:rsidRPr="00034FFF" w:rsidTr="00034FFF">
        <w:trPr>
          <w:tblHeader/>
        </w:trPr>
        <w:tc>
          <w:tcPr>
            <w:tcW w:w="9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lang w:eastAsia="ru-RU"/>
              </w:rPr>
              <w:t>Уголовно-правовое последствие</w:t>
            </w:r>
          </w:p>
        </w:tc>
        <w:tc>
          <w:tcPr>
            <w:tcW w:w="113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lang w:eastAsia="ru-RU"/>
              </w:rPr>
              <w:t>Действующая унифицированная модель</w:t>
            </w:r>
          </w:p>
        </w:tc>
        <w:tc>
          <w:tcPr>
            <w:tcW w:w="29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lang w:eastAsia="ru-RU"/>
              </w:rPr>
              <w:t>Предлагаемый дифференцированный подход</w:t>
            </w:r>
          </w:p>
        </w:tc>
      </w:tr>
      <w:tr w:rsidR="00034FFF" w:rsidRPr="00034FFF" w:rsidTr="00034FFF">
        <w:tc>
          <w:tcPr>
            <w:tcW w:w="9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Признание рецидива (ст. 18 УК РФ)</w:t>
            </w:r>
          </w:p>
        </w:tc>
        <w:tc>
          <w:tcPr>
            <w:tcW w:w="113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lang w:eastAsia="ru-RU"/>
              </w:rPr>
              <w:t>Учитываются только: 1) Наличие непогашенной судимости; 2) Умышленный характер преступлений; 3) Категории преступлений.</w:t>
            </w:r>
          </w:p>
        </w:tc>
        <w:tc>
          <w:tcPr>
            <w:tcW w:w="29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Ввести оценочные критерии: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t> 1) </w:t>
            </w: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Учет характера прошлого преступления: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t> разделение на насильственные, корыстные, иные. Судимость за однородное преступление при прочих равных создает более опасный рецидив. 2) </w:t>
            </w: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Учет «срока давности» судимости: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t> ввести градацию, например, судимости старше 5-8 лет учитывать для рецидива только при совершении тяжких/особо тяжких преступлений или как отягчающее обстоятельство.</w:t>
            </w:r>
          </w:p>
        </w:tc>
      </w:tr>
      <w:tr w:rsidR="00034FFF" w:rsidRPr="00034FFF" w:rsidTr="00034FFF">
        <w:tc>
          <w:tcPr>
            <w:tcW w:w="9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Препятствие для освобождения от уголовной ответственности (ст. 75, 76 УК РФ)</w:t>
            </w:r>
          </w:p>
        </w:tc>
        <w:tc>
          <w:tcPr>
            <w:tcW w:w="113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lang w:eastAsia="ru-RU"/>
              </w:rPr>
              <w:t>Любая непогашенная судимость – абсолютное препятствие.</w:t>
            </w:r>
          </w:p>
        </w:tc>
        <w:tc>
          <w:tcPr>
            <w:tcW w:w="29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Заменить абсолютный запрет на оценочный критерий.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t> Суду предоставить право, с учетом характера прошлого и нового преступления, времени, прошедшего после отбытия наказания, и поведения лица, принимать решение о возможности освобождения. Исключение можно оставить для рецидива опасного и особо опасного.</w:t>
            </w:r>
          </w:p>
        </w:tc>
      </w:tr>
      <w:tr w:rsidR="00034FFF" w:rsidRPr="00034FFF" w:rsidTr="00034FFF">
        <w:tc>
          <w:tcPr>
            <w:tcW w:w="93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Назначение наказания при рецидиве (ст. 68 УК РФ)</w:t>
            </w:r>
          </w:p>
        </w:tc>
        <w:tc>
          <w:tcPr>
            <w:tcW w:w="113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lang w:eastAsia="ru-RU"/>
              </w:rPr>
              <w:t>Единое правило: срок не ниже 1/3 от максимума, неприменение более мягкого наказания.</w:t>
            </w:r>
          </w:p>
        </w:tc>
        <w:tc>
          <w:tcPr>
            <w:tcW w:w="29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34FFF" w:rsidRPr="00034FFF" w:rsidRDefault="00034FFF" w:rsidP="00034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Дифференцировать минимальный порог: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br/>
              <w:t xml:space="preserve">– Для рецидива </w:t>
            </w:r>
            <w:proofErr w:type="spellStart"/>
            <w:r w:rsidRPr="00034FFF">
              <w:rPr>
                <w:rFonts w:ascii="Times New Roman" w:eastAsia="Times New Roman" w:hAnsi="Times New Roman"/>
                <w:lang w:eastAsia="ru-RU"/>
              </w:rPr>
              <w:t>прест</w:t>
            </w:r>
            <w:proofErr w:type="spellEnd"/>
            <w:r w:rsidRPr="00034FFF">
              <w:rPr>
                <w:rFonts w:ascii="Times New Roman" w:eastAsia="Times New Roman" w:hAnsi="Times New Roman"/>
                <w:lang w:eastAsia="ru-RU"/>
              </w:rPr>
              <w:t>. небольшой/средней тяжести: 1/4 от максимума.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br/>
              <w:t>– Для рецидива тяжких/особо тяжких: 1/3 или 1/2 от максимума.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br/>
            </w:r>
            <w:r w:rsidRPr="00034FFF">
              <w:rPr>
                <w:rFonts w:ascii="Times New Roman" w:eastAsia="Times New Roman" w:hAnsi="Times New Roman"/>
                <w:bCs/>
                <w:lang w:eastAsia="ru-RU"/>
              </w:rPr>
              <w:t>Уточнить правило о неприменении более мягкого наказания,</w:t>
            </w:r>
            <w:r w:rsidRPr="00034FFF">
              <w:rPr>
                <w:rFonts w:ascii="Times New Roman" w:eastAsia="Times New Roman" w:hAnsi="Times New Roman"/>
                <w:lang w:eastAsia="ru-RU"/>
              </w:rPr>
              <w:t> разрешив его при исключительных обстоятельствах и для рецидива небольшой тяжести.</w:t>
            </w:r>
          </w:p>
        </w:tc>
      </w:tr>
    </w:tbl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Предлагаемые меры по дифференциации не являются радикальным разрывом с действующей системой, а представляют собой ее логическое </w:t>
      </w: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lastRenderedPageBreak/>
        <w:t>развитие в сторону большей гибкости и справедливости. Их реализация потребует внесения изменений в соответствующие статьи УК РФ и, что не менее важно, формирования детализированной правоприменительной практики Верховного Суда РФ, разъясняющей критерии оценки характера прошлых преступлений и поведения лица.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Ключевым аргументом в пользу дифференциации служит ее соответствие целям уголовного наказания (ст. 43 УК РФ). Избыточно суровые и унифицированные последствия для всех судимых лиц, независимо от их реальной опасности, затрудняют достижение цели исправления, порождая у осужденных ощущение несправедливости и «обреченности». В то же время, недостаточно строгие последствия для лиц, совершивших повторно тяжкие однородные преступления, подрывают цель предупреждения новых преступлений.</w:t>
      </w:r>
    </w:p>
    <w:p w:rsidR="00034FFF" w:rsidRPr="00034FFF" w:rsidRDefault="00034FFF" w:rsidP="00034F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Таким образом, совершенствование института судимости должно идти по пути создания градуированной системы уголовно-правовых последствий. Эта система должна тонко реагировать на совокупность факторов: тяжесть и характер прошлого преступления, срок, прошедший после его совершения, поведение лица в этот период и характер нового деяния. Только такой подход позволит превратить судимость из инструмента механистического ужесточения ответственности в точный юридический инструмент, работающий на достижение баланса между защитой общества, принципом справедливости и задачей ресоциализации личности.</w:t>
      </w:r>
    </w:p>
    <w:p w:rsidR="00E95F28" w:rsidRPr="00E95F28" w:rsidRDefault="00E95F28" w:rsidP="00E95F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</w:pPr>
      <w:r w:rsidRPr="00E95F28"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  <w:t>Список литературы:</w:t>
      </w:r>
    </w:p>
    <w:p w:rsidR="00E95F28" w:rsidRPr="00E95F28" w:rsidRDefault="00E95F28" w:rsidP="00E95F2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E95F28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Уголовный кодекс Российской Федерации от 13.06.1996 № 63-ФЗ (ред. от 17.11.2025) // Собрание законодательства РФ. – 1996. – № 25. – Ст. 2954.</w:t>
      </w:r>
    </w:p>
    <w:p w:rsidR="00034FFF" w:rsidRPr="00034FFF" w:rsidRDefault="00034FFF" w:rsidP="00034FF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proofErr w:type="spellStart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Яцеленко</w:t>
      </w:r>
      <w:proofErr w:type="spellEnd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Б.В</w:t>
      </w:r>
      <w:proofErr w:type="spellEnd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 Судимость: правовая природа и значение в механизме реализации уголовной ответственности // Пролог: журнал о праве. – 2023. – № 1 (37). – С. 56–62.</w:t>
      </w:r>
    </w:p>
    <w:p w:rsidR="00725456" w:rsidRPr="00034FFF" w:rsidRDefault="00034FFF" w:rsidP="00034FF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proofErr w:type="spellStart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Габдрахманов</w:t>
      </w:r>
      <w:proofErr w:type="spellEnd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Ф.В</w:t>
      </w:r>
      <w:proofErr w:type="spellEnd"/>
      <w:r w:rsidRPr="00034FFF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 Уголовно-правовые и общеправовые последствия судимости:// Евразийская адвокатура. – 2014. – № 4 (11). – С. 50–55.</w:t>
      </w:r>
      <w:bookmarkStart w:id="0" w:name="_GoBack"/>
      <w:bookmarkEnd w:id="0"/>
    </w:p>
    <w:sectPr w:rsidR="00725456" w:rsidRPr="00034FFF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F64"/>
    <w:multiLevelType w:val="multilevel"/>
    <w:tmpl w:val="E494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313E"/>
    <w:multiLevelType w:val="multilevel"/>
    <w:tmpl w:val="CADC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13D2E"/>
    <w:multiLevelType w:val="multilevel"/>
    <w:tmpl w:val="8FA6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373A0"/>
    <w:multiLevelType w:val="multilevel"/>
    <w:tmpl w:val="3250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107B6"/>
    <w:multiLevelType w:val="multilevel"/>
    <w:tmpl w:val="10E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AF"/>
    <w:rsid w:val="00034FFF"/>
    <w:rsid w:val="00051B29"/>
    <w:rsid w:val="000854AF"/>
    <w:rsid w:val="000A751A"/>
    <w:rsid w:val="000D7FC5"/>
    <w:rsid w:val="00163B93"/>
    <w:rsid w:val="001A415C"/>
    <w:rsid w:val="001C4696"/>
    <w:rsid w:val="002B007B"/>
    <w:rsid w:val="002E63C5"/>
    <w:rsid w:val="002E76FF"/>
    <w:rsid w:val="002F4D27"/>
    <w:rsid w:val="00390FDD"/>
    <w:rsid w:val="0040070C"/>
    <w:rsid w:val="0048536B"/>
    <w:rsid w:val="00492038"/>
    <w:rsid w:val="00512EC0"/>
    <w:rsid w:val="005211D9"/>
    <w:rsid w:val="005332B8"/>
    <w:rsid w:val="005422C2"/>
    <w:rsid w:val="00550C02"/>
    <w:rsid w:val="00576DF9"/>
    <w:rsid w:val="005C2A69"/>
    <w:rsid w:val="005E4522"/>
    <w:rsid w:val="0060388C"/>
    <w:rsid w:val="006B2B7F"/>
    <w:rsid w:val="006C1F99"/>
    <w:rsid w:val="006F4841"/>
    <w:rsid w:val="00721524"/>
    <w:rsid w:val="00725456"/>
    <w:rsid w:val="00736F7A"/>
    <w:rsid w:val="007436D4"/>
    <w:rsid w:val="00783EF8"/>
    <w:rsid w:val="0078725D"/>
    <w:rsid w:val="00787F30"/>
    <w:rsid w:val="00854634"/>
    <w:rsid w:val="00870CE5"/>
    <w:rsid w:val="008964B3"/>
    <w:rsid w:val="008B076B"/>
    <w:rsid w:val="008F0F3B"/>
    <w:rsid w:val="00962BCE"/>
    <w:rsid w:val="00967627"/>
    <w:rsid w:val="009A2785"/>
    <w:rsid w:val="009E471B"/>
    <w:rsid w:val="009F2998"/>
    <w:rsid w:val="00A0194F"/>
    <w:rsid w:val="00A102E0"/>
    <w:rsid w:val="00A71E01"/>
    <w:rsid w:val="00A94AE5"/>
    <w:rsid w:val="00AB01E6"/>
    <w:rsid w:val="00B17171"/>
    <w:rsid w:val="00B55AFE"/>
    <w:rsid w:val="00B72D38"/>
    <w:rsid w:val="00BD5AD8"/>
    <w:rsid w:val="00C213CB"/>
    <w:rsid w:val="00CF51B4"/>
    <w:rsid w:val="00D14584"/>
    <w:rsid w:val="00D32E35"/>
    <w:rsid w:val="00D34EFF"/>
    <w:rsid w:val="00DD0F6E"/>
    <w:rsid w:val="00E00BC6"/>
    <w:rsid w:val="00E278AE"/>
    <w:rsid w:val="00E95F28"/>
    <w:rsid w:val="00EF1AEF"/>
    <w:rsid w:val="00F05991"/>
    <w:rsid w:val="00FB4742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06A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  <w:style w:type="paragraph" w:styleId="af">
    <w:name w:val="No Spacing"/>
    <w:uiPriority w:val="1"/>
    <w:qFormat/>
    <w:rsid w:val="001A415C"/>
    <w:rPr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E95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034F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3098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2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1458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440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366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0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40802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2159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543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8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0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1517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2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2444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060">
                  <w:marLeft w:val="0"/>
                  <w:marRight w:val="0"/>
                  <w:marTop w:val="9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Багиров Р.А.</dc:creator>
  <cp:lastModifiedBy>Владимир Чеботарев</cp:lastModifiedBy>
  <cp:revision>3</cp:revision>
  <dcterms:created xsi:type="dcterms:W3CDTF">2025-12-06T10:08:00Z</dcterms:created>
  <dcterms:modified xsi:type="dcterms:W3CDTF">2025-12-06T10:13:00Z</dcterms:modified>
</cp:coreProperties>
</file>