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234" w:rsidRPr="00141234" w:rsidRDefault="00141234" w:rsidP="00141234">
      <w:pPr>
        <w:widowControl w:val="0"/>
        <w:pBdr>
          <w:top w:val="nil"/>
          <w:left w:val="nil"/>
          <w:bottom w:val="nil"/>
          <w:right w:val="nil"/>
          <w:between w:val="nil"/>
        </w:pBdr>
        <w:spacing w:after="0" w:line="276" w:lineRule="auto"/>
        <w:jc w:val="center"/>
        <w:rPr>
          <w:rFonts w:ascii="Times New Roman" w:hAnsi="Times New Roman"/>
          <w:sz w:val="28"/>
          <w:szCs w:val="28"/>
        </w:rPr>
      </w:pPr>
      <w:r w:rsidRPr="00141234">
        <w:rPr>
          <w:rFonts w:ascii="Times New Roman" w:hAnsi="Times New Roman"/>
          <w:sz w:val="28"/>
          <w:szCs w:val="28"/>
        </w:rPr>
        <w:t>Гражданский иск в уголовном процессе</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В статье рассматриваются актуальные вопросы предъявления и рассмотрения гражданского иска в рамках уголовного судопроизводства. Анализируются основания для заявления такого иска, а также условия его совместного рассмотрения с уголовным делом.</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Ключевые слова: гражданский иск в уголовном судопроизводстве, возмещение вреда, гражданский иск в рамках уголовного процесса.</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Одной из задач производства по уголовному делу является задача возмещения вреда лицу, если такой вред был причинен в результате преступления. Согласно ч. 3 ст. 42 Уголовно-процессуального кодекса Российской Федерации (далее — УПК РФ) [2] потерпевшему обеспечивается возмещение имущественного вреда, причиненного преступлением. По иску потерпевшего о возмещении в денежном выражении причиненного ему морального вреда размер возмещения определяется судом при рассмотрении уголовного дела или в порядке гражданского судопроизводства (ч. 4 ст. 42 УПК РФ). В случае предъявления лицом (физическим или юридическим), понесшим вред от преступления, гражданского иска о его возмещении в рамках уголовного дела судья, следователь или дознаватель выносит постановление, а суд — определение о признании этого лица гражданским истцом. Таким образом, законодатель позволяет рассматривать гражданско-правовое требование о возмещении вреда совместно с уголовным делом.</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Система уголовного судопроизводства России, являющаяся сложной и многогранной, не стоит на месте, несмотря на свою стабильность и исторически сложившийся характер. Она регулирует процесс расследования и судебного разбирательства по уголовным делам и, хотя не подвергается радикальным преобразованиям, приспосабливается к новым вызовам, возникающим как внутри страны, так и на международном уровне. В ходе исследований было выявлено, что уголовно-процессуальное законодательство постепенно эволюционирует, реагируя на современные изменения в правоприменении и уровень преступности [6, с. 1538].</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 xml:space="preserve">Современные тенденции в уголовном процессе акцентируют внимание на защите прав участников процесса. В правовых обществах наблюдается усиление защитных механизмов, обеспечивающих права индивида в рамках уголовного разбирательства. Это связано с признанием важности соблюдения человеческих прав и свобод в судебной системе. Основная тенденция </w:t>
      </w:r>
      <w:bookmarkStart w:id="0" w:name="_GoBack"/>
      <w:bookmarkEnd w:id="0"/>
      <w:r w:rsidRPr="00141234">
        <w:rPr>
          <w:rFonts w:ascii="Times New Roman" w:hAnsi="Times New Roman"/>
          <w:sz w:val="28"/>
          <w:szCs w:val="28"/>
        </w:rPr>
        <w:t>направлена на улучшение правовой защиты на стадии судебного процесса.</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 xml:space="preserve">Современный уголовный процесс не стоит на месте и активно интегрирует IT-технологии, что ведет к его трансформации в электронную форму. Этот переход в онлайн формат значительно облегчает участие в </w:t>
      </w:r>
      <w:r w:rsidRPr="00141234">
        <w:rPr>
          <w:rFonts w:ascii="Times New Roman" w:hAnsi="Times New Roman"/>
          <w:sz w:val="28"/>
          <w:szCs w:val="28"/>
        </w:rPr>
        <w:lastRenderedPageBreak/>
        <w:t>процессе для всех его участников и улучшает работу органов, занимающихся правопорядком.</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Исследователи подчеркивают растущее значение альтернативных методов разрешения правовых споров, направленных на предупреждение преступлений и обеспечение социальной адаптации лиц, нарушивших закон. В частности, акцентируется внимание на процедурах мирного урегулирования и использовании внесудебных подходов к разрешению конфликтов, включая гражданско-правовые иски [4, с. 645]. Это делает данную тему особенно актуальной для исследования.</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Исследователи подчеркивают, что уголовно-процессуальная деятельность в контексте современного развития правовой системы национального государства носит характер быстрых и активных изменений [5, с. 200]. Принимая во внимание современные правовые направления, можно стимулировать улучшение справедливости и эффективности судопроизводства. Это, в свою очередь, оказывает положительное влияние на осуществление прав и обязанностей участников уголовного суда.</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Часто преступления влекут за собой ущерб чьему-то имуществу. В таких случаях, наряду с установлением фактов преступления и его исполнителя, важно также устранить имущественные последствия преступления. Важным аспектом справедливости является компенсация материального вреда, причиненного незаконными действиями. Это должно служить предупреждением для тех, кто совершил или собирается совершить преступление, что кроме возможного лишения свободы их ждут и значительные финансовые потери.</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Изложенное подтверждает значимость гражданского иска в контексте уголовного процесса как инструмента для ликвидации негативных последствий преступления. Этот механизм является ключевым для восстановления прав и интересов лиц, пострадавших от преступных действий, и компенсации им нанесенного вреда. Он способствует не только воздаянию, но и восстановлению справедливости, защищая права жертв в рамках уголовного правосудия.</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 xml:space="preserve">Потерпевший имеет право обратиться с гражданским иском независимо от решений прокуратуры или суда, и даже до окончания уголовного разбирательства. Возможно одновременное рассмотрение иска с уголовным делом, либо его последующее рассмотрение. Иск может содержать запросы о возмещении убытков, компенсации за моральный урон или восстановлении прав. Суд оценивает иск в рамках уголовного дела и решает, удовлетворять его или нет. При положительном решении суд может наложить обязанность на возмещение ущерба и принять меры по защите прав пострадавшего. Авторы </w:t>
      </w:r>
      <w:r w:rsidRPr="00141234">
        <w:rPr>
          <w:rFonts w:ascii="Times New Roman" w:hAnsi="Times New Roman"/>
          <w:sz w:val="28"/>
          <w:szCs w:val="28"/>
        </w:rPr>
        <w:lastRenderedPageBreak/>
        <w:t>подчеркивают значимость гражданского иска в уголовном процессе и указывают на его уникальные характеристики [7, ч. 21].</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В соответствии с нормами УПК РФ, предъявление гражданского иска возможно только в том случае, если уголовное дело уже начато, но ещё не завершено. Кроме того, лицо, выступающее в роли гражданского истца, при подаче такого иска освобождается от необходимости оплачивать государственную пошлину. В документе, который подается в суд, должны быть отражены аналогичные требования, как и в гражданском процессе.</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Для направления искового обращения необходимо указать должностное лицо и его фамилию, к которому оно адресовано. Если истец — человек, следует сообщить его полное имя и адрес проживания; в ситуации, когда истцом выступает организация, требуется привести ее полное наименование и юридический адрес. В случае, когда заявление</w:t>
      </w:r>
      <w:r w:rsidRPr="00141234">
        <w:rPr>
          <w:rFonts w:ascii="Times New Roman" w:hAnsi="Times New Roman"/>
          <w:sz w:val="28"/>
          <w:szCs w:val="28"/>
        </w:rPr>
        <w:t xml:space="preserve"> </w:t>
      </w:r>
      <w:r w:rsidRPr="00141234">
        <w:rPr>
          <w:rFonts w:ascii="Times New Roman" w:hAnsi="Times New Roman"/>
          <w:sz w:val="28"/>
          <w:szCs w:val="28"/>
        </w:rPr>
        <w:t>подается через представителя, его данные также должны быть внесены в документ. Кроме того, необходимо описать известные детали инцидента, которые являются основанием для претензии о компенсации ущерба.</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Гражданский иск в рамках уголовного дела не имеет строго определённой формы, что обязывает принять его даже при отсутствии некоторых элементов, таких как требование истца, стоимость иска или перечень документов. Отказать в принятии такого иска из-за формальных недочетов законодательно запрещено. Основания для отказа в признании лица гражданским истцом могут быть только два: если ущерб не связан напрямую с расследуемым преступлением или если по данному вопросу уже вынесено решение в рамках гражданского судопроизводства.</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 xml:space="preserve">Разрешение гражданского иска в рамках уголовного процесса имеет ряд преимуществ для потерпевшего лица по сравнению с рассмотрением аналогичного требования в порядке гражданского судопроизводства. Это позволяет более оперативно и эффективно восстановить нарушенные преступлением права потерпевшего на возмещение причиненного ему вреда. Совместное рассмотрение уголовного дела и гражданского иска в едином производстве исключает необходимость повторного исследования обстоятельств дела в гражданском процессе, что экономит время и ресурсы потерпевшего. В уголовном процессе имеются более широкие возможности для сбора и фиксации доказательств, подтверждающих факт причинения вреда и его размер, что облегчает доказывание гражданского иска. Факт причинения вреда преступлением, его характер и размер являются элементами предмета доказывания по уголовному делу. Таким образом, бремя доказывания этих обстоятельств лежит на государственных органах, осуществляющих предварительное расследование, а не на потерпевшем, как в гражданском </w:t>
      </w:r>
      <w:r w:rsidRPr="00141234">
        <w:rPr>
          <w:rFonts w:ascii="Times New Roman" w:hAnsi="Times New Roman"/>
          <w:sz w:val="28"/>
          <w:szCs w:val="28"/>
        </w:rPr>
        <w:lastRenderedPageBreak/>
        <w:t>процессе. Разрешение гражданского иска в рамках уголовного дела позволяет избежать противоречивых решений по одному и тому же вопросу в уголовном и гражданском процессах. Лица, признанные гражданскими истцами и ответчиками по делу, своим участием могут существенно помочь должностным лицам в установлении значимых обстоятельств по уголовному делу. Кроме того, гражданский иск в уголовном процессе не облагается государственной пошлиной (ч. 2 ст. 44 УПК РФ).</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При предъявлении гражданского иска в рамках уголовного процесса существует определенное ограничение. Имущественный вред, причиненный преступлением, но выходящий за рамки предъявленного обвинения, должен быть доказан самим гражданским истцом (потерпевшим). Например, если в результате преступления наступила смерть человека, то расходы на погребение, не охватываемые предъявленным обвинением, подлежат доказыванию гражданским истцом. Аналогично, если потерпевший понес расходы на лечение в связи с причинением вреда здоровью, то доказывание размера этих расходов также ложится на гражданского истца.</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Предметом гражданского иска в уголовном процессе выступает требование о возмещении имущественного вреда или денежной компенсации морального вреда, причиненного преступлением. При этом понятием «вред» охватывается не только прямой ущерб, т. е. утрата, ухудшение или понижение ценности имущества, затраты, необходимые на восстановление, приобретение утраченного имущества (причинение такого</w:t>
      </w:r>
      <w:r w:rsidRPr="00141234">
        <w:rPr>
          <w:rFonts w:ascii="Times New Roman" w:hAnsi="Times New Roman"/>
          <w:sz w:val="28"/>
          <w:szCs w:val="28"/>
        </w:rPr>
        <w:t xml:space="preserve"> </w:t>
      </w:r>
      <w:r w:rsidRPr="00141234">
        <w:rPr>
          <w:rFonts w:ascii="Times New Roman" w:hAnsi="Times New Roman"/>
          <w:sz w:val="28"/>
          <w:szCs w:val="28"/>
        </w:rPr>
        <w:t>вреда может быть целью лица, совершившего преступление или носить сопутствующий характер), но и убытки в виде упущенной выгоды.</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Согласно действующему законодательству, упущенная выгода не включается в размер имущественного вреда при квалификации преступления. Однако в соответствии со ст. 15 Гражданского кодекса Российской Федерации (далее — ГК РФ) [1] лицо, чье право было нарушено, имеет право требовать полного возмещения убытков, включая упущенную выгоду. Таким образом, упущенная выгода может быть предметом гражданского иска в рамках уголовного процесса.</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 xml:space="preserve">Существует мнение, что вопрос о возмещении упущенной выгоды как элемента гражданского иска в уголовном судопроизводстве может быть рассмотрен только в случаях, когда потерпевший самостоятельно обосновал и представил необходимые документы, доказательства, подтверждающие характер и размер неполученных им доходов. В противном случае спор переносится в сферу гражданского судопроизводства. Представляется, что установление характера и размера вреда, причиненного преступлением, в любом случае является обязанностью органов и должностных лиц, </w:t>
      </w:r>
      <w:r w:rsidRPr="00141234">
        <w:rPr>
          <w:rFonts w:ascii="Times New Roman" w:hAnsi="Times New Roman"/>
          <w:sz w:val="28"/>
          <w:szCs w:val="28"/>
        </w:rPr>
        <w:lastRenderedPageBreak/>
        <w:t>осуществляющих производство по делу (следователя, дознавателя), независимо от того, влияет ли причиненный вред на квалификацию. Если вред выходит за рамки предъявленного обвинения, то его доказывание осуществляется гражданским истцом.</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Гражданский иск в рамках уголовного процесса может быть заявлен как для возмещения материального ущерба, причиненного преступлением, так и для компенсации морального вреда в денежном эквиваленте.</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Пленум Верховного Суда РФ в постановлении от 13.10.2020 № 23 [3] разъяснил, что компенсация морального вреда в соответствии с законодательством должна осуществляться в денежной форме, независимо от наличия или отсутствия имущественного ущерба, подлежащего возмещению. При рассмотрении исков о компенсации морального вреда необходимо руководствоваться положениями ст. 151, 1099–1101 ГК РФ. Согласно этим статьям, при определении размера компенсации морального вреда суд должен учитывать характер причиненных потерпевшему физических и нравственных страданий с учетом его индивидуальных особенностей, степень вины причинителя вреда, его материальное положение, а также иные конкретные обстоятельства дела, влияющие на решение суда по предъявленному иску.</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При рассмотрении исков о компенсации морального вреда в денежной форме необходимо руководствоваться положениями гражданского законодательства, в частности, ст. 151 ГК РФ. Согласно этой статье, безусловной компенсации подлежит моральный вред, причиненный действиями, нарушающими личные неимущественные права граждан (право на свободу передвижения, выбор места пребывания и жительства, право на имя, авторские права и др.), либо посягающими на другие нематериальные блага (жизнь, здоровье, честь, достоинство). В иных случаях возможность компенсации морального вреда должна быть прямо предусмотрена законом.</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Вместе с тем, Пленум Верховного Суда РФ [3] разъяснил, что гражданский иск о компенсации морального вреда подлежит рассмотрению судом также в случаях, когда в результате преступления, посягающего на чужое имущество или другие материальные блага, вред причиняется</w:t>
      </w:r>
      <w:r w:rsidRPr="00141234">
        <w:rPr>
          <w:rFonts w:ascii="Times New Roman" w:hAnsi="Times New Roman"/>
          <w:sz w:val="28"/>
          <w:szCs w:val="28"/>
        </w:rPr>
        <w:t xml:space="preserve"> </w:t>
      </w:r>
      <w:r w:rsidRPr="00141234">
        <w:rPr>
          <w:rFonts w:ascii="Times New Roman" w:hAnsi="Times New Roman"/>
          <w:sz w:val="28"/>
          <w:szCs w:val="28"/>
        </w:rPr>
        <w:t>личным неимущественным правам либо нематериальным благам потерпевшего (например, при разбое, краже с незаконным проникновением в жилище и др.).</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 xml:space="preserve">Стоит подчеркнуть, что возможность заявления гражданского иска в рамках уголовного судопроизводства весьма значима для защиты прав пострадавших лиц. Из вышеизложенного ясно, что итог по гражданскому иску способен повлиять на вердикт по уголовному делу. Рассмотрение гражданского иска способствует не только привлечению к ответственности лица, совершившего преступление, но и снижению риска повторных </w:t>
      </w:r>
      <w:r w:rsidRPr="00141234">
        <w:rPr>
          <w:rFonts w:ascii="Times New Roman" w:hAnsi="Times New Roman"/>
          <w:sz w:val="28"/>
          <w:szCs w:val="28"/>
        </w:rPr>
        <w:lastRenderedPageBreak/>
        <w:t>преступлений. Выплаченная через суд компенсация может стать стимулом для изменения поведения виновного и отказа от противоправных действий в будущем.</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Литература:</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Гражданский кодекс Российской Федерации (часть вторая) от 26.01.1996 № 14-ФЗ (ред. от 24.07.2023) // Собрание законодательства РФ. 1996. № 5. Ст. 410.</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Уголовно-процессуальный кодекс Российской Федерации от 18.12.2001 № 174-ФЗ (ред. от 29.05.2024) // Собрание законодательства РФ. — 2001. — № 52 (ч. I). — Ст. 4921.</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О практике рассмотрения судами гражданского иска по уголовному делу: Постановление Пленума Верховного Суда РФ от 13.10.2020 № 23 // Бюллетень Верховного Суда РФ. — 2020. — № 12.</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Васильев, Д. В. Некоторые проблемы гражданского иска в уголовном деле и пути их решения /Д. В. Васильев, А. А. Ласкин // Гуманитарное пространство. — 2024. — Т. 13. — № 7. — С. 644–649.</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Котанова, Е. Я. Некоторые проблемы гражданского иска в уголовном процессе /Е. Я. Котанова, В. Н. Худоба // Вопросы судебной деятельности и правоприменения в современных условиях. Сборник статей по результатам II Международной научно-практической конференции, посвященной празднованию 10-летней годовщины воссоединения Крыма с Российской Федерацией. — Симферополь, 2024. — С. 197–202.</w:t>
      </w:r>
    </w:p>
    <w:p w:rsidR="00141234" w:rsidRPr="00141234" w:rsidRDefault="00141234" w:rsidP="00141234">
      <w:pPr>
        <w:pBdr>
          <w:top w:val="nil"/>
          <w:left w:val="nil"/>
          <w:bottom w:val="nil"/>
          <w:right w:val="nil"/>
          <w:between w:val="nil"/>
        </w:pBdr>
        <w:spacing w:after="0" w:line="276" w:lineRule="auto"/>
        <w:ind w:firstLine="680"/>
        <w:jc w:val="both"/>
        <w:rPr>
          <w:rFonts w:ascii="Times New Roman" w:hAnsi="Times New Roman"/>
          <w:sz w:val="28"/>
          <w:szCs w:val="28"/>
        </w:rPr>
      </w:pPr>
      <w:r w:rsidRPr="00141234">
        <w:rPr>
          <w:rFonts w:ascii="Times New Roman" w:hAnsi="Times New Roman"/>
          <w:sz w:val="28"/>
          <w:szCs w:val="28"/>
        </w:rPr>
        <w:t>Ляленкова, М. С. Практика применения института гражданского иска в уголовном процессе /М. С. Ляленкова, П. В. Елкина // Право и правосудие в современном мире. Сборник научных статей молодых исследователей. — Санкт-Петербург, 2024. — С. 1537–1541.</w:t>
      </w:r>
    </w:p>
    <w:p w:rsidR="00143FE8" w:rsidRPr="00141234" w:rsidRDefault="00141234" w:rsidP="00141234">
      <w:pPr>
        <w:spacing w:line="276" w:lineRule="auto"/>
        <w:rPr>
          <w:rFonts w:ascii="Times New Roman" w:hAnsi="Times New Roman"/>
          <w:sz w:val="28"/>
          <w:szCs w:val="28"/>
        </w:rPr>
      </w:pPr>
      <w:r w:rsidRPr="00141234">
        <w:rPr>
          <w:rFonts w:ascii="Times New Roman" w:hAnsi="Times New Roman"/>
          <w:sz w:val="28"/>
          <w:szCs w:val="28"/>
        </w:rPr>
        <w:t>Попова, И. П. Понятие, предмет и сущность гражданского иска в уголовном судопроизводстве России /И. П. Попова, Е. А. Барилюк // Перспективы современных интеграционных процессов. Пути реализации инновационных решений. Сборник статей III международной научной конференции. — Санкт-Петербург, 2024. — С. 21–24.</w:t>
      </w:r>
    </w:p>
    <w:p w:rsidR="00141234" w:rsidRDefault="00141234" w:rsidP="00141234"/>
    <w:sectPr w:rsidR="00141234">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45B" w:rsidRDefault="0090345B" w:rsidP="00141234">
      <w:pPr>
        <w:spacing w:after="0" w:line="240" w:lineRule="auto"/>
      </w:pPr>
      <w:r>
        <w:separator/>
      </w:r>
    </w:p>
  </w:endnote>
  <w:endnote w:type="continuationSeparator" w:id="0">
    <w:p w:rsidR="0090345B" w:rsidRDefault="0090345B" w:rsidP="00141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807956"/>
      <w:docPartObj>
        <w:docPartGallery w:val="Page Numbers (Bottom of Page)"/>
        <w:docPartUnique/>
      </w:docPartObj>
    </w:sdtPr>
    <w:sdtContent>
      <w:p w:rsidR="00141234" w:rsidRDefault="00141234">
        <w:pPr>
          <w:pStyle w:val="a5"/>
          <w:jc w:val="center"/>
        </w:pPr>
        <w:r>
          <w:fldChar w:fldCharType="begin"/>
        </w:r>
        <w:r>
          <w:instrText>PAGE   \* MERGEFORMAT</w:instrText>
        </w:r>
        <w:r>
          <w:fldChar w:fldCharType="separate"/>
        </w:r>
        <w:r>
          <w:rPr>
            <w:noProof/>
          </w:rPr>
          <w:t>6</w:t>
        </w:r>
        <w:r>
          <w:fldChar w:fldCharType="end"/>
        </w:r>
      </w:p>
    </w:sdtContent>
  </w:sdt>
  <w:p w:rsidR="00141234" w:rsidRDefault="001412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45B" w:rsidRDefault="0090345B" w:rsidP="00141234">
      <w:pPr>
        <w:spacing w:after="0" w:line="240" w:lineRule="auto"/>
      </w:pPr>
      <w:r>
        <w:separator/>
      </w:r>
    </w:p>
  </w:footnote>
  <w:footnote w:type="continuationSeparator" w:id="0">
    <w:p w:rsidR="0090345B" w:rsidRDefault="0090345B" w:rsidP="00141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234" w:rsidRDefault="00141234" w:rsidP="00141234">
    <w:pPr>
      <w:pStyle w:val="a3"/>
      <w:tabs>
        <w:tab w:val="clear" w:pos="4677"/>
        <w:tab w:val="clear" w:pos="9355"/>
        <w:tab w:val="left" w:pos="400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EAA"/>
    <w:rsid w:val="00141234"/>
    <w:rsid w:val="00143FE8"/>
    <w:rsid w:val="0090345B"/>
    <w:rsid w:val="00917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940152-080A-4992-AB7C-3FDA74C0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41234"/>
    <w:pPr>
      <w:outlineLvl w:val="0"/>
    </w:pPr>
    <w:rPr>
      <w:rFonts w:ascii="Calibri" w:eastAsia="Times New Roman" w:hAnsi="Calibri"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23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41234"/>
    <w:rPr>
      <w:rFonts w:ascii="Calibri" w:eastAsia="Times New Roman" w:hAnsi="Calibri" w:cs="Times New Roman"/>
      <w:color w:val="000000"/>
      <w:szCs w:val="20"/>
      <w:lang w:eastAsia="ru-RU"/>
    </w:rPr>
  </w:style>
  <w:style w:type="paragraph" w:styleId="a5">
    <w:name w:val="footer"/>
    <w:basedOn w:val="a"/>
    <w:link w:val="a6"/>
    <w:uiPriority w:val="99"/>
    <w:unhideWhenUsed/>
    <w:rsid w:val="0014123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41234"/>
    <w:rPr>
      <w:rFonts w:ascii="Calibri" w:eastAsia="Times New Roman" w:hAnsi="Calibri" w:cs="Times New Roman"/>
      <w:color w:val="000000"/>
      <w:szCs w:val="20"/>
      <w:lang w:eastAsia="ru-RU"/>
    </w:rPr>
  </w:style>
  <w:style w:type="character" w:styleId="a7">
    <w:name w:val="line number"/>
    <w:basedOn w:val="a0"/>
    <w:uiPriority w:val="99"/>
    <w:semiHidden/>
    <w:unhideWhenUsed/>
    <w:rsid w:val="00141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2170</Words>
  <Characters>12373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Фокина Галина Петровна</dc:creator>
  <cp:keywords/>
  <dc:description/>
  <cp:lastModifiedBy>Фокина Галина Петровна</cp:lastModifiedBy>
  <cp:revision>2</cp:revision>
  <dcterms:created xsi:type="dcterms:W3CDTF">2026-01-13T06:56:00Z</dcterms:created>
  <dcterms:modified xsi:type="dcterms:W3CDTF">2026-01-13T06:56:00Z</dcterms:modified>
</cp:coreProperties>
</file>