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4232" w14:textId="77777777" w:rsidR="00CB1171" w:rsidRDefault="00CB1171" w:rsidP="00CB1171">
      <w:pPr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F5B2B5" wp14:editId="4AD5C2B0">
            <wp:simplePos x="0" y="0"/>
            <wp:positionH relativeFrom="column">
              <wp:posOffset>5423535</wp:posOffset>
            </wp:positionH>
            <wp:positionV relativeFrom="paragraph">
              <wp:posOffset>-110490</wp:posOffset>
            </wp:positionV>
            <wp:extent cx="1066800" cy="6000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59ABA60" wp14:editId="1BEC9F96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828800" cy="342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4F6629" w14:textId="77777777" w:rsidR="00CB1171" w:rsidRDefault="00CB1171" w:rsidP="00CB1171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14:paraId="650EFF3F" w14:textId="77777777" w:rsidR="00CB1171" w:rsidRDefault="00CB1171" w:rsidP="00CB117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0B62F140" w14:textId="77777777" w:rsidR="00CB1171" w:rsidRDefault="00CB1171" w:rsidP="00CB1171">
      <w:pPr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НЕГОСУДАРСТВЕННОЕ ОБРАЗОВАТЕЛЬНОЕ ЧАСТНОЕ УЧРЕЖДЕНИЕ ВЫСШЕГО ОБРАЗОВАНИЯ </w:t>
      </w:r>
    </w:p>
    <w:p w14:paraId="6DCDE429" w14:textId="77777777" w:rsidR="00CB1171" w:rsidRDefault="00CB1171" w:rsidP="00CB1171">
      <w:pPr>
        <w:adjustRightInd w:val="0"/>
        <w:ind w:left="-142" w:right="-284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«МОСКОВСКИЙ ФИНАНСОВО-ПРОМЫШЛЕННЫЙ УНИВЕРСИТЕТ «СИНЕРГИЯ»</w:t>
      </w:r>
    </w:p>
    <w:p w14:paraId="0EB6F6C7" w14:textId="77777777" w:rsidR="00CB1171" w:rsidRDefault="00CB1171" w:rsidP="00CB1171">
      <w:pPr>
        <w:adjustRightInd w:val="0"/>
        <w:jc w:val="center"/>
        <w:rPr>
          <w:sz w:val="24"/>
          <w:szCs w:val="24"/>
          <w:lang w:eastAsia="ru-RU"/>
        </w:rPr>
      </w:pPr>
    </w:p>
    <w:p w14:paraId="1C25E9C4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585C3E4" w14:textId="77777777" w:rsidR="00CB1171" w:rsidRDefault="00CB1171" w:rsidP="00CB1171">
      <w:pPr>
        <w:adjustRightInd w:val="0"/>
        <w:jc w:val="center"/>
        <w:rPr>
          <w:sz w:val="24"/>
          <w:szCs w:val="24"/>
          <w:lang w:eastAsia="ru-RU"/>
        </w:rPr>
      </w:pPr>
    </w:p>
    <w:p w14:paraId="27B8EACE" w14:textId="77777777" w:rsidR="00CB1171" w:rsidRDefault="00CB1171" w:rsidP="00CB1171">
      <w:pPr>
        <w:adjustRightInd w:val="0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>Направление подготовки /специальность:</w:t>
      </w:r>
      <w:r>
        <w:rPr>
          <w:sz w:val="24"/>
          <w:szCs w:val="24"/>
          <w:lang w:eastAsia="ru-RU"/>
        </w:rPr>
        <w:t xml:space="preserve"> 40.04.01 Юриспруденция</w:t>
      </w:r>
    </w:p>
    <w:p w14:paraId="7C14A6BE" w14:textId="77777777" w:rsidR="00CB1171" w:rsidRDefault="00CB1171" w:rsidP="00CB1171">
      <w:pPr>
        <w:adjustRightInd w:val="0"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(код и наименование направления подготовки /специальности)</w:t>
      </w:r>
    </w:p>
    <w:p w14:paraId="3F4DB2EC" w14:textId="77777777" w:rsidR="00CB1171" w:rsidRDefault="00CB1171" w:rsidP="00CB1171">
      <w:pPr>
        <w:adjustRightInd w:val="0"/>
        <w:rPr>
          <w:sz w:val="24"/>
          <w:szCs w:val="24"/>
          <w:vertAlign w:val="superscript"/>
          <w:lang w:eastAsia="ru-RU"/>
        </w:rPr>
      </w:pPr>
      <w:r>
        <w:rPr>
          <w:b/>
          <w:sz w:val="24"/>
          <w:szCs w:val="24"/>
          <w:lang w:eastAsia="ru-RU"/>
        </w:rPr>
        <w:t>Профиль/специализация: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Магистр уголовного, гражданского и административного судопроизводства</w:t>
      </w:r>
      <w:r>
        <w:rPr>
          <w:color w:val="FFFFFF"/>
          <w:sz w:val="24"/>
          <w:szCs w:val="24"/>
          <w:u w:val="single"/>
          <w:lang w:eastAsia="ru-RU"/>
        </w:rPr>
        <w:t>.</w:t>
      </w:r>
    </w:p>
    <w:p w14:paraId="22D5D0CB" w14:textId="77777777" w:rsidR="00CB1171" w:rsidRDefault="00CB1171" w:rsidP="00CB1171">
      <w:pPr>
        <w:adjustRightInd w:val="0"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(наименование профиля/специализации)</w:t>
      </w:r>
    </w:p>
    <w:p w14:paraId="7FB7B30A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55C88C9" w14:textId="77777777" w:rsidR="00CB1171" w:rsidRDefault="00CB1171" w:rsidP="00CB1171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09F84E21" w14:textId="77777777" w:rsidR="00CB1171" w:rsidRDefault="00CB1171" w:rsidP="00CB1171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15DA09EE" w14:textId="77777777" w:rsidR="00CB1171" w:rsidRDefault="00CB1171" w:rsidP="00CB1171">
      <w:pPr>
        <w:adjustRightInd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Отчет </w:t>
      </w:r>
    </w:p>
    <w:p w14:paraId="68BB9CF1" w14:textId="77777777" w:rsidR="00CB1171" w:rsidRDefault="00CB1171" w:rsidP="00CB1171">
      <w:pPr>
        <w:adjustRightInd w:val="0"/>
        <w:jc w:val="center"/>
        <w:rPr>
          <w:b/>
          <w:sz w:val="20"/>
          <w:szCs w:val="20"/>
          <w:lang w:eastAsia="ru-RU"/>
        </w:rPr>
      </w:pPr>
    </w:p>
    <w:p w14:paraId="0080AD36" w14:textId="77777777" w:rsidR="00CB1171" w:rsidRDefault="00CB1171" w:rsidP="00CB1171">
      <w:pPr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 Научно-исследовательской работе </w:t>
      </w:r>
    </w:p>
    <w:p w14:paraId="6381940E" w14:textId="77777777" w:rsidR="00CB1171" w:rsidRDefault="00CB1171" w:rsidP="00CB1171">
      <w:pPr>
        <w:adjustRightInd w:val="0"/>
        <w:jc w:val="center"/>
        <w:rPr>
          <w:sz w:val="24"/>
          <w:szCs w:val="24"/>
          <w:vertAlign w:val="superscript"/>
          <w:lang w:eastAsia="ru-RU"/>
        </w:rPr>
      </w:pPr>
      <w:r>
        <w:rPr>
          <w:b/>
          <w:sz w:val="28"/>
          <w:szCs w:val="28"/>
          <w:lang w:eastAsia="ru-RU"/>
        </w:rPr>
        <w:t>(получению первичных навыков научно-исследовательской работы)</w:t>
      </w:r>
      <w:r>
        <w:rPr>
          <w:b/>
          <w:sz w:val="24"/>
          <w:szCs w:val="24"/>
          <w:lang w:eastAsia="ru-RU"/>
        </w:rPr>
        <w:tab/>
      </w:r>
    </w:p>
    <w:p w14:paraId="7D19DA10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 семестр</w:t>
      </w:r>
    </w:p>
    <w:p w14:paraId="63CFA294" w14:textId="77777777" w:rsidR="00CB1171" w:rsidRDefault="00CB1171" w:rsidP="00CB1171">
      <w:pPr>
        <w:adjustRightInd w:val="0"/>
        <w:jc w:val="center"/>
        <w:rPr>
          <w:sz w:val="20"/>
          <w:szCs w:val="20"/>
          <w:lang w:eastAsia="ru-RU"/>
        </w:rPr>
      </w:pPr>
    </w:p>
    <w:p w14:paraId="2F9CF0E4" w14:textId="77777777" w:rsidR="00CB1171" w:rsidRDefault="00CB1171" w:rsidP="00CB1171">
      <w:pPr>
        <w:adjustRightInd w:val="0"/>
        <w:jc w:val="center"/>
        <w:rPr>
          <w:sz w:val="20"/>
          <w:szCs w:val="20"/>
          <w:lang w:eastAsia="ru-RU"/>
        </w:rPr>
      </w:pPr>
    </w:p>
    <w:p w14:paraId="32D22E99" w14:textId="77777777" w:rsidR="00CB1171" w:rsidRDefault="00CB1171" w:rsidP="00CB1171">
      <w:pPr>
        <w:adjustRightInd w:val="0"/>
        <w:jc w:val="center"/>
        <w:rPr>
          <w:sz w:val="20"/>
          <w:szCs w:val="20"/>
          <w:lang w:eastAsia="ru-RU"/>
        </w:rPr>
      </w:pPr>
    </w:p>
    <w:p w14:paraId="44528045" w14:textId="77777777" w:rsidR="00CB1171" w:rsidRDefault="00CB1171" w:rsidP="00CB1171">
      <w:pPr>
        <w:adjustRightInd w:val="0"/>
        <w:jc w:val="center"/>
        <w:rPr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5"/>
        <w:gridCol w:w="3656"/>
        <w:gridCol w:w="466"/>
        <w:gridCol w:w="2238"/>
      </w:tblGrid>
      <w:tr w:rsidR="00CB1171" w14:paraId="59569067" w14:textId="77777777" w:rsidTr="008D2C80">
        <w:trPr>
          <w:trHeight w:val="629"/>
        </w:trPr>
        <w:tc>
          <w:tcPr>
            <w:tcW w:w="1601" w:type="pct"/>
            <w:noWrap/>
            <w:vAlign w:val="bottom"/>
          </w:tcPr>
          <w:p w14:paraId="2C0FA4FE" w14:textId="77777777" w:rsidR="00CB1171" w:rsidRDefault="00CB1171" w:rsidP="008D2C80">
            <w:pPr>
              <w:tabs>
                <w:tab w:val="left" w:pos="0"/>
              </w:tabs>
              <w:adjustRightInd w:val="0"/>
              <w:rPr>
                <w:b/>
                <w:sz w:val="20"/>
                <w:szCs w:val="20"/>
                <w:lang w:eastAsia="ru-RU"/>
              </w:rPr>
            </w:pPr>
          </w:p>
          <w:p w14:paraId="6F397A83" w14:textId="77777777" w:rsidR="00CB1171" w:rsidRDefault="00CB1171" w:rsidP="008D2C80">
            <w:pPr>
              <w:tabs>
                <w:tab w:val="left" w:pos="0"/>
              </w:tabs>
              <w:adjustRightInd w:val="0"/>
              <w:rPr>
                <w:b/>
                <w:sz w:val="20"/>
                <w:szCs w:val="20"/>
                <w:lang w:eastAsia="ru-RU"/>
              </w:rPr>
            </w:pPr>
          </w:p>
          <w:p w14:paraId="0B1DF66B" w14:textId="77777777" w:rsidR="00CB1171" w:rsidRDefault="00CB1171" w:rsidP="008D2C80">
            <w:pPr>
              <w:tabs>
                <w:tab w:val="left" w:pos="0"/>
              </w:tabs>
              <w:adjustRightInd w:val="0"/>
              <w:rPr>
                <w:b/>
                <w:sz w:val="20"/>
                <w:szCs w:val="20"/>
                <w:lang w:eastAsia="ru-RU"/>
              </w:rPr>
            </w:pPr>
          </w:p>
          <w:p w14:paraId="1783200B" w14:textId="77777777" w:rsidR="00CB1171" w:rsidRDefault="00CB1171" w:rsidP="008D2C80">
            <w:pPr>
              <w:tabs>
                <w:tab w:val="left" w:pos="0"/>
              </w:tabs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Обучающийся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1102D" w14:textId="77777777" w:rsidR="00CB1171" w:rsidRPr="009C0D58" w:rsidRDefault="00CB1171" w:rsidP="008D2C80">
            <w:pPr>
              <w:adjustRightInd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9C0D58">
              <w:rPr>
                <w:iCs/>
                <w:sz w:val="24"/>
                <w:szCs w:val="24"/>
                <w:lang w:eastAsia="ru-RU"/>
              </w:rPr>
              <w:t>Маслов</w:t>
            </w:r>
            <w:r>
              <w:rPr>
                <w:iCs/>
                <w:sz w:val="24"/>
                <w:szCs w:val="24"/>
                <w:lang w:eastAsia="ru-RU"/>
              </w:rPr>
              <w:t>а Наталья Алексеевна</w:t>
            </w:r>
          </w:p>
        </w:tc>
        <w:tc>
          <w:tcPr>
            <w:tcW w:w="249" w:type="pct"/>
            <w:noWrap/>
            <w:vAlign w:val="bottom"/>
            <w:hideMark/>
          </w:tcPr>
          <w:p w14:paraId="38866172" w14:textId="77777777" w:rsidR="00CB1171" w:rsidRDefault="00CB1171" w:rsidP="008D2C80">
            <w:pPr>
              <w:adjustRightInd w:val="0"/>
              <w:ind w:firstLineChars="100" w:firstLine="200"/>
              <w:rPr>
                <w:iCs/>
                <w:color w:val="000080"/>
                <w:sz w:val="20"/>
                <w:szCs w:val="20"/>
                <w:lang w:eastAsia="ru-RU"/>
              </w:rPr>
            </w:pPr>
            <w:r>
              <w:rPr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516C0" w14:textId="0151C2ED" w:rsidR="00CB1171" w:rsidRDefault="00CB1171" w:rsidP="008D2C80">
            <w:pPr>
              <w:adjustRightInd w:val="0"/>
              <w:jc w:val="center"/>
              <w:rPr>
                <w:iCs/>
                <w:color w:val="000080"/>
                <w:sz w:val="20"/>
                <w:szCs w:val="20"/>
                <w:lang w:eastAsia="ru-RU"/>
              </w:rPr>
            </w:pPr>
            <w:r>
              <w:rPr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CB1171" w14:paraId="5B9ABE56" w14:textId="77777777" w:rsidTr="008D2C80">
        <w:trPr>
          <w:trHeight w:val="195"/>
        </w:trPr>
        <w:tc>
          <w:tcPr>
            <w:tcW w:w="1601" w:type="pct"/>
            <w:noWrap/>
            <w:vAlign w:val="bottom"/>
          </w:tcPr>
          <w:p w14:paraId="68EE9249" w14:textId="77777777" w:rsidR="00CB1171" w:rsidRDefault="00CB1171" w:rsidP="008D2C80">
            <w:pPr>
              <w:adjustRightInd w:val="0"/>
              <w:jc w:val="righ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6EF6AE" w14:textId="77777777" w:rsidR="00CB1171" w:rsidRDefault="00CB1171" w:rsidP="008D2C80">
            <w:pPr>
              <w:adjustRightInd w:val="0"/>
              <w:jc w:val="center"/>
              <w:rPr>
                <w:iCs/>
                <w:sz w:val="16"/>
                <w:szCs w:val="16"/>
                <w:lang w:eastAsia="ru-RU"/>
              </w:rPr>
            </w:pPr>
            <w:r>
              <w:rPr>
                <w:iCs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49" w:type="pct"/>
            <w:noWrap/>
          </w:tcPr>
          <w:p w14:paraId="72FA23DC" w14:textId="77777777" w:rsidR="00CB1171" w:rsidRDefault="00CB1171" w:rsidP="008D2C80">
            <w:pPr>
              <w:adjustRightInd w:val="0"/>
              <w:jc w:val="center"/>
              <w:rPr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A709" w14:textId="77777777" w:rsidR="00CB1171" w:rsidRDefault="00CB1171" w:rsidP="008D2C80">
            <w:pPr>
              <w:adjustRightInd w:val="0"/>
              <w:jc w:val="center"/>
              <w:rPr>
                <w:iCs/>
                <w:sz w:val="16"/>
                <w:szCs w:val="16"/>
                <w:lang w:eastAsia="ru-RU"/>
              </w:rPr>
            </w:pPr>
            <w:r>
              <w:rPr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5A84E0AE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6AC46AF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A206864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8517C61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91D439F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2B7EEF2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5569EFF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1E5164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1251802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716E4C8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453C79D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D1DAEB8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6C4BD22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4989798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CFC7EAD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D94B897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D7A81E6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FD636EF" w14:textId="77777777" w:rsidR="00CB1171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8065BA0" w14:textId="77777777" w:rsidR="00CB1171" w:rsidRPr="006F5F6A" w:rsidRDefault="00CB1171" w:rsidP="00CB1171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Москва 2025г.</w:t>
      </w:r>
      <w:r>
        <w:rPr>
          <w:b/>
          <w:sz w:val="24"/>
          <w:szCs w:val="24"/>
        </w:rPr>
        <w:br w:type="page"/>
      </w:r>
    </w:p>
    <w:p w14:paraId="3575095F" w14:textId="0A185452" w:rsidR="00CB1171" w:rsidRDefault="00CB1171" w:rsidP="00CB1171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</w:rPr>
      </w:pPr>
      <w:r w:rsidRPr="005C7CD2">
        <w:rPr>
          <w:rFonts w:eastAsiaTheme="minorHAnsi"/>
          <w:b/>
          <w:bCs/>
          <w:sz w:val="28"/>
          <w:szCs w:val="28"/>
        </w:rPr>
        <w:lastRenderedPageBreak/>
        <w:t>Подготовка научной статьи по избранной теме</w:t>
      </w:r>
    </w:p>
    <w:p w14:paraId="6267726D" w14:textId="77777777" w:rsidR="00E33140" w:rsidRDefault="00E33140" w:rsidP="00CB1171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37E344BB" w14:textId="77777777" w:rsidR="00E33140" w:rsidRPr="009C0D58" w:rsidRDefault="00E33140" w:rsidP="00E33140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  <w:r w:rsidRPr="00E33140">
        <w:rPr>
          <w:rFonts w:eastAsiaTheme="minorHAnsi"/>
          <w:b/>
          <w:bCs/>
          <w:sz w:val="28"/>
          <w:szCs w:val="28"/>
        </w:rPr>
        <w:t>Тема</w:t>
      </w:r>
      <w:r>
        <w:rPr>
          <w:rFonts w:eastAsiaTheme="minorHAnsi"/>
          <w:sz w:val="28"/>
          <w:szCs w:val="28"/>
        </w:rPr>
        <w:t>: Обеспечительные меры в делах о несостоятельности(банкротстве).</w:t>
      </w:r>
    </w:p>
    <w:p w14:paraId="419979D2" w14:textId="77777777" w:rsidR="00E33140" w:rsidRPr="005C7CD2" w:rsidRDefault="00E33140" w:rsidP="00E33140">
      <w:pPr>
        <w:widowControl/>
        <w:adjustRightInd w:val="0"/>
        <w:spacing w:line="360" w:lineRule="auto"/>
        <w:rPr>
          <w:rFonts w:eastAsiaTheme="minorHAnsi"/>
          <w:b/>
          <w:bCs/>
          <w:sz w:val="28"/>
          <w:szCs w:val="28"/>
        </w:rPr>
      </w:pPr>
    </w:p>
    <w:p w14:paraId="65F55222" w14:textId="77777777" w:rsidR="00CB1171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b/>
          <w:bCs/>
          <w:sz w:val="28"/>
          <w:szCs w:val="28"/>
        </w:rPr>
        <w:t xml:space="preserve">Аннотация: </w:t>
      </w:r>
      <w:r w:rsidRPr="005C7CD2">
        <w:rPr>
          <w:rFonts w:eastAsiaTheme="minorHAnsi"/>
          <w:sz w:val="28"/>
          <w:szCs w:val="28"/>
        </w:rPr>
        <w:t>Банкротство предприятий в настоящее время вызывает в некотором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смысле негативные последствия для экономики. Законодательство о банкротстве, прежде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всего, направлено на ранжирование эффективных и неэффективных предприятий, на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ликвидацию неэффективных субъектов хозяйствования. Однако, в таких реалиях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наблюдается следующая ситуация: в большей степени подвергаются негативным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последствиям и ликвидации малые и средние предприятия, в то время как крупные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предприятия продолжают деятельность с огромными долгами. Уход с рынка малых 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средних предприятий негативно сказывается на экономике государства, так как оно теряет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налогоплательщиков, в то же время происходит увеличение безработицы. </w:t>
      </w:r>
    </w:p>
    <w:p w14:paraId="0F5CCD47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В связи с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вышеизложенным, тема банкротства предприятий вызывает ряд вопросов и дискуссий 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правоприменительной практике. Представляется необходимым разработать такие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алгоритмы правового регулирования банкротства предприятий, а также и мероприятий по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их предупреждению, которые позволят восстановить их деятельность уже после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вступления в процедуру банкротства.</w:t>
      </w:r>
    </w:p>
    <w:p w14:paraId="763BD7FC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b/>
          <w:bCs/>
          <w:sz w:val="28"/>
          <w:szCs w:val="28"/>
        </w:rPr>
        <w:t xml:space="preserve">Ключевые слова: </w:t>
      </w:r>
      <w:r w:rsidRPr="005C7CD2">
        <w:rPr>
          <w:rFonts w:eastAsiaTheme="minorHAnsi"/>
          <w:sz w:val="28"/>
          <w:szCs w:val="28"/>
        </w:rPr>
        <w:t>банкротство, несостоятельность, разорение, имущество, должник,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кредиторы.</w:t>
      </w:r>
    </w:p>
    <w:p w14:paraId="70D9CB6A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Составители словаря иностранных слов и русского языка указывают на то, что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русское слово «банкротство» берет свое происхождение от немецкого слова «</w:t>
      </w:r>
      <w:proofErr w:type="spellStart"/>
      <w:r w:rsidRPr="005C7CD2">
        <w:rPr>
          <w:rFonts w:eastAsiaTheme="minorHAnsi"/>
          <w:sz w:val="28"/>
          <w:szCs w:val="28"/>
        </w:rPr>
        <w:t>bankrott</w:t>
      </w:r>
      <w:proofErr w:type="spellEnd"/>
      <w:r w:rsidRPr="005C7CD2">
        <w:rPr>
          <w:rFonts w:eastAsiaTheme="minorHAnsi"/>
          <w:sz w:val="28"/>
          <w:szCs w:val="28"/>
        </w:rPr>
        <w:t>» или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французского «</w:t>
      </w:r>
      <w:proofErr w:type="spellStart"/>
      <w:r w:rsidRPr="005C7CD2">
        <w:rPr>
          <w:rFonts w:eastAsiaTheme="minorHAnsi"/>
          <w:sz w:val="28"/>
          <w:szCs w:val="28"/>
        </w:rPr>
        <w:t>banqueroute</w:t>
      </w:r>
      <w:proofErr w:type="spellEnd"/>
      <w:r w:rsidRPr="005C7CD2">
        <w:rPr>
          <w:rFonts w:eastAsiaTheme="minorHAnsi"/>
          <w:sz w:val="28"/>
          <w:szCs w:val="28"/>
        </w:rPr>
        <w:t>», которые, в свою очередь, от итальянского «</w:t>
      </w:r>
      <w:proofErr w:type="spellStart"/>
      <w:r w:rsidRPr="005C7CD2">
        <w:rPr>
          <w:rFonts w:eastAsiaTheme="minorHAnsi"/>
          <w:sz w:val="28"/>
          <w:szCs w:val="28"/>
        </w:rPr>
        <w:t>bancarotta</w:t>
      </w:r>
      <w:proofErr w:type="spellEnd"/>
      <w:r w:rsidRPr="005C7CD2">
        <w:rPr>
          <w:rFonts w:eastAsiaTheme="minorHAnsi"/>
          <w:sz w:val="28"/>
          <w:szCs w:val="28"/>
        </w:rPr>
        <w:t>», что 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переводе означает долговую несостоятельность, отказ предпринимателя платить по своим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долговым обязательствам по причине отсутствия средств, разорение, финансовый крах.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«</w:t>
      </w:r>
      <w:proofErr w:type="spellStart"/>
      <w:r w:rsidRPr="005C7CD2">
        <w:rPr>
          <w:rFonts w:eastAsiaTheme="minorHAnsi"/>
          <w:sz w:val="28"/>
          <w:szCs w:val="28"/>
        </w:rPr>
        <w:t>Bancarotta</w:t>
      </w:r>
      <w:proofErr w:type="spellEnd"/>
      <w:r w:rsidRPr="005C7CD2">
        <w:rPr>
          <w:rFonts w:eastAsiaTheme="minorHAnsi"/>
          <w:sz w:val="28"/>
          <w:szCs w:val="28"/>
        </w:rPr>
        <w:t xml:space="preserve">» дословно переводится как «сломанная, разбитая скамья, </w:t>
      </w:r>
      <w:r w:rsidRPr="005C7CD2">
        <w:rPr>
          <w:rFonts w:eastAsiaTheme="minorHAnsi"/>
          <w:sz w:val="28"/>
          <w:szCs w:val="28"/>
        </w:rPr>
        <w:lastRenderedPageBreak/>
        <w:t>прилавок, стол,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контора», а возникновение такого понятия связывают с тем, что в средневековой Италии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кредиторы крушили «рабочие места», которые оказывались не в состоянии выплатить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долги</w:t>
      </w:r>
      <w:r>
        <w:rPr>
          <w:rFonts w:eastAsiaTheme="minorHAnsi"/>
          <w:sz w:val="28"/>
          <w:szCs w:val="28"/>
        </w:rPr>
        <w:t xml:space="preserve"> менял, банкиров или торговцев</w:t>
      </w:r>
      <w:r w:rsidRPr="005C7CD2">
        <w:rPr>
          <w:rFonts w:eastAsiaTheme="minorHAnsi"/>
          <w:sz w:val="28"/>
          <w:szCs w:val="28"/>
        </w:rPr>
        <w:t>.</w:t>
      </w:r>
    </w:p>
    <w:p w14:paraId="6E5D9EDC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Имеющиеся в научной доктрине подходы к определению сути рассматриваемых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явлений условно можно разделить на определенные группы.</w:t>
      </w:r>
    </w:p>
    <w:p w14:paraId="18A459C8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I. Несостоятельность как особое состояние имущества должника.</w:t>
      </w:r>
    </w:p>
    <w:p w14:paraId="74150ADF" w14:textId="77777777" w:rsidR="00CB1171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proofErr w:type="gramStart"/>
      <w:r w:rsidRPr="005C7CD2">
        <w:rPr>
          <w:rFonts w:eastAsiaTheme="minorHAnsi"/>
          <w:sz w:val="28"/>
          <w:szCs w:val="28"/>
        </w:rPr>
        <w:t>Согласно данному подходу</w:t>
      </w:r>
      <w:proofErr w:type="gramEnd"/>
      <w:r w:rsidRPr="005C7CD2">
        <w:rPr>
          <w:rFonts w:eastAsiaTheme="minorHAnsi"/>
          <w:sz w:val="28"/>
          <w:szCs w:val="28"/>
        </w:rPr>
        <w:t xml:space="preserve"> юридическая природа несостоятельности (банкротства)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коренится в состоянии имущества должника, не позволяющем исполнить обязательства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перед кредиторами</w:t>
      </w:r>
      <w:r>
        <w:rPr>
          <w:rFonts w:eastAsiaTheme="minorHAnsi"/>
          <w:sz w:val="28"/>
          <w:szCs w:val="28"/>
        </w:rPr>
        <w:t xml:space="preserve"> (объектная теория). Сторонники</w:t>
      </w:r>
      <w:r w:rsidRPr="005C7CD2">
        <w:rPr>
          <w:rFonts w:eastAsiaTheme="minorHAnsi"/>
          <w:sz w:val="28"/>
          <w:szCs w:val="28"/>
        </w:rPr>
        <w:t xml:space="preserve"> указанной концепции </w:t>
      </w:r>
      <w:r>
        <w:rPr>
          <w:rFonts w:eastAsiaTheme="minorHAnsi"/>
          <w:sz w:val="28"/>
          <w:szCs w:val="28"/>
        </w:rPr>
        <w:t>утверждают</w:t>
      </w:r>
      <w:r w:rsidRPr="005C7CD2">
        <w:rPr>
          <w:rFonts w:eastAsiaTheme="minorHAnsi"/>
          <w:sz w:val="28"/>
          <w:szCs w:val="28"/>
        </w:rPr>
        <w:t>, что несостоятельностью признается состояние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имущества, судебным порядком установленное, которое дает основание предполагать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недостаточность его для равномерного удовлетворения всех кредиторов.</w:t>
      </w:r>
      <w:r>
        <w:rPr>
          <w:rFonts w:eastAsiaTheme="minorHAnsi"/>
          <w:sz w:val="28"/>
          <w:szCs w:val="28"/>
        </w:rPr>
        <w:t xml:space="preserve"> </w:t>
      </w:r>
    </w:p>
    <w:p w14:paraId="664EF636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II. Несостоятельность как особое состояние должника.</w:t>
      </w:r>
    </w:p>
    <w:p w14:paraId="7E48505A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Данная концепция положена в основу действующего законодательства и является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широко распространенной в научной литературе. С позиции ее сторонников,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несостоятельность (банкротство) характеризует прежде всего определенное состояние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должника, при котором он не имеет возможности погасить свою задолженность перед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кредиторами (субъектная теория). Представляется, что именно данный подход является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наиболее правильным, поскольку несостоятельность – это прежде всего характеристика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самого субъекта, а не объекта права. Совершенно очевидно, что состоятельным или,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напротив, несостоятельным может быть только хозяйствующий субъект, а не его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имущество.</w:t>
      </w:r>
    </w:p>
    <w:p w14:paraId="373F8BA0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Несостоятельность (банкротство) – это сложный социально-экономический феномен,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являющийся результатом действия самых разных факторов (экономических,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управленческих, социальных, правовых и т.п.), иногда совсем не связанных с дефектами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имущества должника, поэтому сводить все многообразие проявлений несостоятельности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только к имущественному состоянию, как это имеет место в рамках объектной </w:t>
      </w:r>
      <w:r w:rsidRPr="005C7CD2">
        <w:rPr>
          <w:rFonts w:eastAsiaTheme="minorHAnsi"/>
          <w:sz w:val="28"/>
          <w:szCs w:val="28"/>
        </w:rPr>
        <w:lastRenderedPageBreak/>
        <w:t>концепции,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было бы весьма недальновидным. Между тем исследование данной проблемы, безусловно,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имеет не только теоретическую, но и практическую значимость.</w:t>
      </w:r>
    </w:p>
    <w:p w14:paraId="1BDC4794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В частности, основываясь на объектной трактовке несостоятельности, банкротами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могут быть признаны широкий круг лиц, в том числе умершие или объявленные умершими,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лица недееспособные или ограниченно дееспособные, а также </w:t>
      </w:r>
      <w:proofErr w:type="spellStart"/>
      <w:r w:rsidRPr="005C7CD2">
        <w:rPr>
          <w:rFonts w:eastAsiaTheme="minorHAnsi"/>
          <w:sz w:val="28"/>
          <w:szCs w:val="28"/>
        </w:rPr>
        <w:t>неправосубъектные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образования. В рамках субъектной трактовки круг потенциальных банкротов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ограничивается исключительно </w:t>
      </w:r>
      <w:proofErr w:type="spellStart"/>
      <w:r w:rsidRPr="005C7CD2">
        <w:rPr>
          <w:rFonts w:eastAsiaTheme="minorHAnsi"/>
          <w:sz w:val="28"/>
          <w:szCs w:val="28"/>
        </w:rPr>
        <w:t>деликтоспособными</w:t>
      </w:r>
      <w:proofErr w:type="spellEnd"/>
      <w:r w:rsidRPr="005C7CD2">
        <w:rPr>
          <w:rFonts w:eastAsiaTheme="minorHAnsi"/>
          <w:sz w:val="28"/>
          <w:szCs w:val="28"/>
        </w:rPr>
        <w:t xml:space="preserve"> субъектами хозяйственного оборота.</w:t>
      </w:r>
      <w:r>
        <w:rPr>
          <w:rStyle w:val="a5"/>
          <w:rFonts w:eastAsiaTheme="minorHAnsi"/>
          <w:sz w:val="28"/>
          <w:szCs w:val="28"/>
        </w:rPr>
        <w:footnoteReference w:id="1"/>
      </w:r>
    </w:p>
    <w:p w14:paraId="6CB2B30F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Заметим, что римским правом допускалась возможность объявления</w:t>
      </w:r>
    </w:p>
    <w:p w14:paraId="1E8C2C6E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несостоятельным умершего лица, что долгое время, вплоть до ХХ в., признавалось также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конкурсным законодательством России, Франции, Германии, Англии. В настоящее время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производство по делам о несостоятельности в связи с наследованием предусмотрено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немецким законодательством (§ 315−331 </w:t>
      </w:r>
      <w:proofErr w:type="spellStart"/>
      <w:r w:rsidRPr="005C7CD2">
        <w:rPr>
          <w:rFonts w:eastAsiaTheme="minorHAnsi"/>
          <w:sz w:val="28"/>
          <w:szCs w:val="28"/>
        </w:rPr>
        <w:t>Insolvenzordnung</w:t>
      </w:r>
      <w:proofErr w:type="spellEnd"/>
      <w:r w:rsidRPr="005C7CD2">
        <w:rPr>
          <w:rFonts w:eastAsiaTheme="minorHAnsi"/>
          <w:sz w:val="28"/>
          <w:szCs w:val="28"/>
        </w:rPr>
        <w:t>).</w:t>
      </w:r>
    </w:p>
    <w:p w14:paraId="029133AF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III. Несостоятельность как юридический состав.</w:t>
      </w:r>
    </w:p>
    <w:p w14:paraId="17786B23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Анализ действующего законодательства о несостоятельности позволяет прийти к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выводу о том, что признание должника несостоятельным (банкротом) представляет собой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юридический состав.</w:t>
      </w:r>
    </w:p>
    <w:p w14:paraId="01B2D7CA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Институт банкротства возник из отношений должника и его кредиторов, основан на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этих отношениях, а после, в процессе своего развития, перерос данный уровень и не может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 настоящее время рассматриваться только с экономической или правовой точки зрения,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изолированно от социальных, политических, организационных, нравственных проблем.</w:t>
      </w:r>
    </w:p>
    <w:p w14:paraId="450D2218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Историю развития взаимоотношений должника и кредиторов можно проследить со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времен первобытного общества и рабовладельческих </w:t>
      </w:r>
      <w:r w:rsidRPr="005C7CD2">
        <w:rPr>
          <w:rFonts w:eastAsiaTheme="minorHAnsi"/>
          <w:sz w:val="28"/>
          <w:szCs w:val="28"/>
        </w:rPr>
        <w:lastRenderedPageBreak/>
        <w:t>государств, когда к не способному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выполнить свои обязательства должнику применялись такие наказания, как физическое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насилие, посадка в долговую яму, изгнание из общины, обращение в рабство.</w:t>
      </w:r>
      <w:r>
        <w:rPr>
          <w:rStyle w:val="a5"/>
          <w:rFonts w:eastAsiaTheme="minorHAnsi"/>
          <w:sz w:val="28"/>
          <w:szCs w:val="28"/>
        </w:rPr>
        <w:footnoteReference w:id="2"/>
      </w:r>
    </w:p>
    <w:p w14:paraId="23E1D807" w14:textId="77777777" w:rsidR="00CB1171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По мере возникновения крупных корпораций, изменения их природы под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воздействием научно-технической революции, взаимопроникновения отраслей и экономик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различных стран, нарастания процессов глобализации, бурного развития финансовых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рынков отношения должника и кредиторов стали затрагивать не только их интересы, но 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интересы государства, местных органов власти, больших групп людей, работающих на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предприятиях должника, его контрагентов. </w:t>
      </w:r>
    </w:p>
    <w:p w14:paraId="2A293ED7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При этом следует понимать, что банкротство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небольшого предприятия, снабжение сырьем и сбыт продукции которого осуществляется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на территории в небольшом радиусе, и имеющего несколько десятков занятых (а таких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предприятий в середине XIX века было около 90 % будет иметь совершенно иные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последствия, чем банкротство транснациональных корпораций, которые владеют тысячами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филиалов и миллионами занятых в них.</w:t>
      </w:r>
    </w:p>
    <w:p w14:paraId="0B5C7DB9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В условиях стремительного развития мирового сообщества регулирование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экономической несостоятельности (банкротства) в</w:t>
      </w:r>
      <w:r>
        <w:rPr>
          <w:rFonts w:eastAsiaTheme="minorHAnsi"/>
          <w:sz w:val="28"/>
          <w:szCs w:val="28"/>
        </w:rPr>
        <w:t xml:space="preserve"> РФ</w:t>
      </w:r>
      <w:r w:rsidRPr="005C7CD2">
        <w:rPr>
          <w:rFonts w:eastAsiaTheme="minorHAnsi"/>
          <w:sz w:val="28"/>
          <w:szCs w:val="28"/>
        </w:rPr>
        <w:t>, в основном,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обусловлено социальной направленностью белорусской экономической модели. Для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регулирования в рамках данной модели отмечается уклон в сторону защиты интересов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отдельных должников – естественных монополистов, государственных предприятий,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режимных организаций, оборонных и стратегически значимых предприятий.</w:t>
      </w:r>
    </w:p>
    <w:p w14:paraId="764FDDD9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Институт экономической несостоятельности (банкротства) является важнейшим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институтом современной рыночной экономики. Он оказывает сильное воздействие на цели,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стимулы и мотивы основных экономических субъектов, выбор ими стратегии поведения</w:t>
      </w:r>
      <w:r>
        <w:rPr>
          <w:rFonts w:eastAsiaTheme="minorHAnsi"/>
          <w:sz w:val="28"/>
          <w:szCs w:val="28"/>
        </w:rPr>
        <w:t>.</w:t>
      </w:r>
    </w:p>
    <w:p w14:paraId="70FEBE26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lastRenderedPageBreak/>
        <w:t>Эффективное законодательство об экономической несостоятельности (банкротстве)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должно снижать уровень хозяйственных рисков, способствовать перераспределению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промышленных активов в пользу эффективно хозяйствующих предприятий, создавать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условия для формирования ответственных собственников и менеджеров.</w:t>
      </w:r>
    </w:p>
    <w:p w14:paraId="77D19C6E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Экономическая несостоятельность (банкротство) – это цивилизованная форма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поражения в конкурентной борьбе, своеобразный способ оздоровления экономики путем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исключения неплатежеспособного субъекта из гражданского оборота с учетом интересов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 только кредиторов, но и должника, исключая иные способы получения долга.</w:t>
      </w:r>
    </w:p>
    <w:p w14:paraId="3F6B2611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Заслуживает внимания подход А.П. Смольского, который придерживается мнения,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что банкротство – это не просто явление, а институт, «определенная организация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общественной деятельности и социальных отношений»</w:t>
      </w:r>
      <w:r>
        <w:rPr>
          <w:rStyle w:val="a5"/>
          <w:rFonts w:eastAsiaTheme="minorHAnsi"/>
          <w:sz w:val="28"/>
          <w:szCs w:val="28"/>
        </w:rPr>
        <w:footnoteReference w:id="3"/>
      </w:r>
      <w:r w:rsidRPr="005C7CD2">
        <w:rPr>
          <w:rFonts w:eastAsiaTheme="minorHAnsi"/>
          <w:sz w:val="28"/>
          <w:szCs w:val="28"/>
        </w:rPr>
        <w:t>, которая воплощает в себе нормы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экономической, политической, правовой, нравственной и иных сфер жизни общества, а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также социальные правила жизнедеятельности и пов</w:t>
      </w:r>
      <w:r>
        <w:rPr>
          <w:rFonts w:eastAsiaTheme="minorHAnsi"/>
          <w:sz w:val="28"/>
          <w:szCs w:val="28"/>
        </w:rPr>
        <w:t>едения людей в данном обществе</w:t>
      </w:r>
      <w:r w:rsidRPr="005C7CD2">
        <w:rPr>
          <w:rFonts w:eastAsiaTheme="minorHAnsi"/>
          <w:sz w:val="28"/>
          <w:szCs w:val="28"/>
        </w:rPr>
        <w:t>.</w:t>
      </w:r>
    </w:p>
    <w:p w14:paraId="0CA028A1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Проведя аналогию между двумя, по мнению некоторых авторов, тождественными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понятиями, очевидно, что банкротство – понятие более широкое, чем понятие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экономической несостоятельности, а последствия банкротства более глобальные –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ликвидация субъекта хозяйствования, в случае же экономической несостоятельности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возможна санация.</w:t>
      </w:r>
    </w:p>
    <w:p w14:paraId="774362C8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Отметим, что в законодательстве Российской Федерации понятия экономической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несостоятельности и банкротства используются как синонимы, обозначающие признанную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судом неспособность должника в полном объеме удовлетворить требования кредиторов по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денежным обязательствам, а также исполнить обязанность по уплате обязательных</w:t>
      </w:r>
      <w:r>
        <w:rPr>
          <w:rFonts w:eastAsiaTheme="minorHAnsi"/>
          <w:sz w:val="28"/>
          <w:szCs w:val="28"/>
        </w:rPr>
        <w:t xml:space="preserve"> платежей</w:t>
      </w:r>
      <w:r w:rsidRPr="005C7CD2">
        <w:rPr>
          <w:rFonts w:eastAsiaTheme="minorHAnsi"/>
          <w:sz w:val="28"/>
          <w:szCs w:val="28"/>
        </w:rPr>
        <w:t xml:space="preserve">. </w:t>
      </w:r>
    </w:p>
    <w:p w14:paraId="6F3178A2" w14:textId="77777777" w:rsidR="00CB1171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lastRenderedPageBreak/>
        <w:t>Существуют различные подходы к дифференциации понятий банкротства 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несостоятельности. Так, ряд исследователей, которые рассматривают данную проблему с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позиций права, считают необходимым разделить данные понятия по принципу отнесения к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различным отраслям права: банкротство – к уголовному, а несостоятельность – к частному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праву. </w:t>
      </w:r>
    </w:p>
    <w:p w14:paraId="57EDC0EE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Х</w:t>
      </w:r>
      <w:r w:rsidRPr="005C7CD2">
        <w:rPr>
          <w:rFonts w:eastAsiaTheme="minorHAnsi"/>
          <w:sz w:val="28"/>
          <w:szCs w:val="28"/>
        </w:rPr>
        <w:t>отя в настоящее время и в Российской Федерации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существует уголовная ответственность за ряд преступлений, которые связаны с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банкротством (ложное и преднамеренное банкротство, сокрытие банкротства, срыв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возмещения убытков кредитору), необходимо криминализировать и неосторожное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банкротство, в связи с тем, что оно является не менее опасным посягательством против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чужих имущественных прав и интересов, а их экон</w:t>
      </w:r>
      <w:r>
        <w:rPr>
          <w:rFonts w:eastAsiaTheme="minorHAnsi"/>
          <w:sz w:val="28"/>
          <w:szCs w:val="28"/>
        </w:rPr>
        <w:t>омические последствия одинаковы.</w:t>
      </w:r>
    </w:p>
    <w:p w14:paraId="570F61D2" w14:textId="77777777" w:rsidR="00CB1171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Вместе с тем, следует понимать, что юридическое понятие «банкротство» отличается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от бытового понятия «разорение» тем, что разорение означает утрату материального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благополучия, а банкротство означает в дополнение к этому еще и наличие денежных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обязательств, которые банкрот не может оплатить. </w:t>
      </w:r>
    </w:p>
    <w:p w14:paraId="04289CB2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Также, должник, который не имеет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возможности выполнить денежные обязательств, обязан передать кредиторам в счет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погашения долга средства, которые выручены от продажи его имущества на торгах. После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чего он считается свободным от долгов даже в том случае, если сумма выручки, переданной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кредиторам, будет меньше суммы долга.</w:t>
      </w:r>
    </w:p>
    <w:p w14:paraId="250FFF41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Для того чтобы достичь поставленных при проведении процедур банкротства целей,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необходимо выявить причины, приводящие организации к кризису. Исходя из понимания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причин сложившейся ситуации, можно сделать вывод о том, с каким видом банкротства мы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столкнулись, и какие меры могут и должны быть предприняты для исправления положения.</w:t>
      </w:r>
    </w:p>
    <w:p w14:paraId="71C028FE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lastRenderedPageBreak/>
        <w:t>Выделяют следующие виды банкротства</w:t>
      </w:r>
      <w:r>
        <w:rPr>
          <w:rStyle w:val="a5"/>
          <w:rFonts w:eastAsiaTheme="minorHAnsi"/>
          <w:sz w:val="28"/>
          <w:szCs w:val="28"/>
        </w:rPr>
        <w:footnoteReference w:id="4"/>
      </w:r>
      <w:r w:rsidRPr="005C7CD2">
        <w:rPr>
          <w:rFonts w:eastAsiaTheme="minorHAnsi"/>
          <w:sz w:val="28"/>
          <w:szCs w:val="28"/>
        </w:rPr>
        <w:t>:</w:t>
      </w:r>
    </w:p>
    <w:p w14:paraId="73F183F1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– «несчастное» банкротство наступает не по вине должника, а вследствие</w:t>
      </w:r>
    </w:p>
    <w:p w14:paraId="135FB581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обстоятельств непреодолимой силы, не зависящих от его воли и действий (стихийные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бедствия, политические потрясения, общий экономический кризис) и требует оказания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специальных мер государственной поддержки или соответствующего ситуации щадящего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отношения к организации;</w:t>
      </w:r>
    </w:p>
    <w:p w14:paraId="59C2E091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– «неосторожное» банкротство возникает как результат неэффективной деятельности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организации, принятия менеджментом рискованных решений; обычный и самый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распространенный в нормальной рыночной экономике вид банкротства;</w:t>
      </w:r>
    </w:p>
    <w:p w14:paraId="242DF830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– ложное (фиктивное) банкротство, когда у должника, объявившего о банкротстве, 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действительности имеются возможности удовлетворить требования кредиторов в полном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объеме; является уголовным преступлением;</w:t>
      </w:r>
    </w:p>
    <w:p w14:paraId="1297174B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– преднамеренное банкротство наступает по вине (умыслу) участников,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собственников имущества должника или иных лиц, имеющих право давать обязательные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для организации указания или возможность иным образом определять ее действия.</w:t>
      </w:r>
    </w:p>
    <w:p w14:paraId="49654128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Все причины банкротства можно разделить на несколько групп: объективные 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субъективные, общие и особенные, внешние и внутренние.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Признание в судебном порядке банкротства предприятия влечет за собой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установление для нее особого правового и экономического статуса, который заключается в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ограничении прав собственников или органов управления должника на управление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бизнесом и распоряжение имуществом; возможности передачи функций управления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внешнему управляющему; невозможности предъявления имущественных требований к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должнику иначе как в процедурах банкротства; отсрочке исполнения и уменьшении сумм</w:t>
      </w:r>
    </w:p>
    <w:p w14:paraId="4C817C1D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его обязательств.</w:t>
      </w:r>
    </w:p>
    <w:p w14:paraId="1E83438C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lastRenderedPageBreak/>
        <w:t>Таким образом, следует согласиться с тем, что банкротство в некоторой степени,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представляет собой в экономическом пространстве институционального «санитара»,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который очищает экономику от неэффективных собственников, от неэффективных 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неспособных адаптироваться к ней субъектов. Банкротство – институт рыночной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экономики, который выполняет функции поддержания рыночной конкурентной среды 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страхования рисков предпринимательской деятельности, оно используется для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урегулирования взаимоотношений должника и кредиторов в судебном порядке с учетом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интересов собственников, а также работников должника и государства и общества в целом.</w:t>
      </w:r>
    </w:p>
    <w:p w14:paraId="2CC311A0" w14:textId="77777777" w:rsidR="00CB1171" w:rsidRPr="001C7AB0" w:rsidRDefault="00CB1171" w:rsidP="00CB1171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i/>
          <w:iCs/>
          <w:sz w:val="28"/>
          <w:szCs w:val="28"/>
        </w:rPr>
      </w:pPr>
      <w:r w:rsidRPr="005C7CD2">
        <w:rPr>
          <w:rFonts w:eastAsiaTheme="minorHAnsi"/>
          <w:b/>
          <w:bCs/>
          <w:i/>
          <w:iCs/>
          <w:sz w:val="28"/>
          <w:szCs w:val="28"/>
        </w:rPr>
        <w:t>Литература</w:t>
      </w:r>
    </w:p>
    <w:p w14:paraId="5287F0B4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Pr="005C7CD2">
        <w:rPr>
          <w:rFonts w:eastAsiaTheme="minorHAnsi"/>
          <w:sz w:val="28"/>
          <w:szCs w:val="28"/>
        </w:rPr>
        <w:t>. Киселёва К.Д. Рассмотрение дел о несостоятельности (банкротстве)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юридических лиц в Российской Федерации / К.Д. Киселёва // Наука, образование,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инновации: апробация результатов исследований. Материалы Международной (заочной)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научно-практической конференции. под общей редакцией А.И. Вострецова. 2020. – С. 471-475.</w:t>
      </w:r>
    </w:p>
    <w:p w14:paraId="442A1177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Смольский</w:t>
      </w:r>
      <w:r w:rsidRPr="005C7CD2">
        <w:rPr>
          <w:rFonts w:eastAsiaTheme="minorHAnsi"/>
          <w:sz w:val="28"/>
          <w:szCs w:val="28"/>
        </w:rPr>
        <w:t xml:space="preserve"> А.П. Институт банкротства: сущность, особенности и проблемы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функционирования на современном этапе / А.П. Смольский // [Электронный ресурс] –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>Режим доступа: http://www.mirkin.ru. – Дата доступа: 01.1</w:t>
      </w:r>
      <w:r>
        <w:rPr>
          <w:rFonts w:eastAsiaTheme="minorHAnsi"/>
          <w:sz w:val="28"/>
          <w:szCs w:val="28"/>
        </w:rPr>
        <w:t>0</w:t>
      </w:r>
      <w:r w:rsidRPr="005C7CD2">
        <w:rPr>
          <w:rFonts w:eastAsiaTheme="minorHAnsi"/>
          <w:sz w:val="28"/>
          <w:szCs w:val="28"/>
        </w:rPr>
        <w:t>.202</w:t>
      </w:r>
      <w:r>
        <w:rPr>
          <w:rFonts w:eastAsiaTheme="minorHAnsi"/>
          <w:sz w:val="28"/>
          <w:szCs w:val="28"/>
        </w:rPr>
        <w:t>3</w:t>
      </w:r>
      <w:r w:rsidRPr="005C7CD2">
        <w:rPr>
          <w:rFonts w:eastAsiaTheme="minorHAnsi"/>
          <w:sz w:val="28"/>
          <w:szCs w:val="28"/>
        </w:rPr>
        <w:t>.</w:t>
      </w:r>
    </w:p>
    <w:p w14:paraId="1CECE789" w14:textId="77777777" w:rsidR="00CB1171" w:rsidRPr="005C7CD2" w:rsidRDefault="00CB1171" w:rsidP="00CB1171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5C7CD2">
        <w:rPr>
          <w:rFonts w:eastAsiaTheme="minorHAnsi"/>
          <w:sz w:val="28"/>
          <w:szCs w:val="28"/>
        </w:rPr>
        <w:t>. Смольский А.П. Развитие сист</w:t>
      </w:r>
      <w:r>
        <w:rPr>
          <w:rFonts w:eastAsiaTheme="minorHAnsi"/>
          <w:sz w:val="28"/>
          <w:szCs w:val="28"/>
        </w:rPr>
        <w:t xml:space="preserve">емы регулирования банкротства </w:t>
      </w:r>
      <w:r w:rsidRPr="005C7CD2">
        <w:rPr>
          <w:rFonts w:eastAsiaTheme="minorHAnsi"/>
          <w:sz w:val="28"/>
          <w:szCs w:val="28"/>
        </w:rPr>
        <w:t>/ А.П. Смольский // [Электронный ресурс] – Режим доступа: http://etalonline.by. –</w:t>
      </w:r>
    </w:p>
    <w:p w14:paraId="477B3C6D" w14:textId="77777777" w:rsidR="00CB1171" w:rsidRPr="005C7CD2" w:rsidRDefault="00CB1171" w:rsidP="00CB1171">
      <w:pPr>
        <w:widowControl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C7CD2">
        <w:rPr>
          <w:rFonts w:eastAsiaTheme="minorHAnsi"/>
          <w:sz w:val="28"/>
          <w:szCs w:val="28"/>
        </w:rPr>
        <w:t>Дата доступа: 01.1</w:t>
      </w:r>
      <w:r>
        <w:rPr>
          <w:rFonts w:eastAsiaTheme="minorHAnsi"/>
          <w:sz w:val="28"/>
          <w:szCs w:val="28"/>
        </w:rPr>
        <w:t>0.2023</w:t>
      </w:r>
      <w:r w:rsidRPr="005C7CD2">
        <w:rPr>
          <w:rFonts w:eastAsiaTheme="minorHAnsi"/>
          <w:sz w:val="28"/>
          <w:szCs w:val="28"/>
        </w:rPr>
        <w:t>.</w:t>
      </w:r>
    </w:p>
    <w:p w14:paraId="5DC9EA47" w14:textId="77777777" w:rsidR="00CB1171" w:rsidRPr="00515A83" w:rsidRDefault="00CB1171" w:rsidP="00CB1171">
      <w:pPr>
        <w:widowControl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5C7CD2">
        <w:rPr>
          <w:rFonts w:eastAsiaTheme="minorHAnsi"/>
          <w:sz w:val="28"/>
          <w:szCs w:val="28"/>
        </w:rPr>
        <w:t xml:space="preserve">. </w:t>
      </w:r>
      <w:proofErr w:type="spellStart"/>
      <w:r w:rsidRPr="005C7CD2">
        <w:rPr>
          <w:rFonts w:eastAsiaTheme="minorHAnsi"/>
          <w:sz w:val="28"/>
          <w:szCs w:val="28"/>
        </w:rPr>
        <w:t>Хашиев</w:t>
      </w:r>
      <w:proofErr w:type="spellEnd"/>
      <w:r w:rsidRPr="005C7CD2">
        <w:rPr>
          <w:rFonts w:eastAsiaTheme="minorHAnsi"/>
          <w:sz w:val="28"/>
          <w:szCs w:val="28"/>
        </w:rPr>
        <w:t xml:space="preserve"> Э.Х. Развитие института банкротства в России: особенности</w:t>
      </w:r>
      <w:r>
        <w:rPr>
          <w:rFonts w:eastAsiaTheme="minorHAnsi"/>
          <w:sz w:val="28"/>
          <w:szCs w:val="28"/>
        </w:rPr>
        <w:t xml:space="preserve"> </w:t>
      </w:r>
      <w:r w:rsidRPr="005C7CD2">
        <w:rPr>
          <w:rFonts w:eastAsiaTheme="minorHAnsi"/>
          <w:sz w:val="28"/>
          <w:szCs w:val="28"/>
        </w:rPr>
        <w:t xml:space="preserve">правового регулирования / Э.Х. </w:t>
      </w:r>
      <w:proofErr w:type="spellStart"/>
      <w:r w:rsidRPr="005C7CD2">
        <w:rPr>
          <w:rFonts w:eastAsiaTheme="minorHAnsi"/>
          <w:sz w:val="28"/>
          <w:szCs w:val="28"/>
        </w:rPr>
        <w:t>Хашиев</w:t>
      </w:r>
      <w:proofErr w:type="spellEnd"/>
      <w:r w:rsidRPr="005C7CD2">
        <w:rPr>
          <w:rFonts w:eastAsiaTheme="minorHAnsi"/>
          <w:sz w:val="28"/>
          <w:szCs w:val="28"/>
        </w:rPr>
        <w:t xml:space="preserve"> // Научный электронный журнал Меридиан. – 2020.</w:t>
      </w:r>
      <w:r w:rsidRPr="00515A83">
        <w:rPr>
          <w:rFonts w:eastAsiaTheme="minorHAnsi"/>
          <w:sz w:val="28"/>
          <w:szCs w:val="28"/>
        </w:rPr>
        <w:t xml:space="preserve">– № </w:t>
      </w:r>
      <w:r>
        <w:rPr>
          <w:rFonts w:eastAsiaTheme="minorHAnsi"/>
          <w:sz w:val="28"/>
          <w:szCs w:val="28"/>
        </w:rPr>
        <w:t>4 (38). – С. 171-173.</w:t>
      </w:r>
    </w:p>
    <w:p w14:paraId="23AC6FC4" w14:textId="77777777" w:rsidR="0090416F" w:rsidRDefault="0090416F"/>
    <w:sectPr w:rsidR="0090416F" w:rsidSect="0047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16B4" w14:textId="77777777" w:rsidR="00C95BC9" w:rsidRDefault="00C95BC9" w:rsidP="00CB1171">
      <w:r>
        <w:separator/>
      </w:r>
    </w:p>
  </w:endnote>
  <w:endnote w:type="continuationSeparator" w:id="0">
    <w:p w14:paraId="647C2A56" w14:textId="77777777" w:rsidR="00C95BC9" w:rsidRDefault="00C95BC9" w:rsidP="00C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62F6" w14:textId="77777777" w:rsidR="00C95BC9" w:rsidRDefault="00C95BC9" w:rsidP="00CB1171">
      <w:r>
        <w:separator/>
      </w:r>
    </w:p>
  </w:footnote>
  <w:footnote w:type="continuationSeparator" w:id="0">
    <w:p w14:paraId="799D84D1" w14:textId="77777777" w:rsidR="00C95BC9" w:rsidRDefault="00C95BC9" w:rsidP="00CB1171">
      <w:r>
        <w:continuationSeparator/>
      </w:r>
    </w:p>
  </w:footnote>
  <w:footnote w:id="1">
    <w:p w14:paraId="262D86FA" w14:textId="77777777" w:rsidR="00CB1171" w:rsidRPr="001C7AB0" w:rsidRDefault="00CB1171" w:rsidP="00CB1171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1C7AB0">
        <w:rPr>
          <w:rFonts w:eastAsiaTheme="minorHAnsi"/>
          <w:sz w:val="24"/>
          <w:szCs w:val="24"/>
        </w:rPr>
        <w:t>Киселёва К.Д. Рассмотрение дел о несостоятельности (банкротстве) юридических лиц в Российской Федерации / К.Д. Киселёва // Наука, образование, инновации: апробация результатов исследований. Материалы Международной (заочной) научно-практической конференции. под общей редакцией А.И. Вострецова. 2020. – С. 471-475.</w:t>
      </w:r>
    </w:p>
    <w:p w14:paraId="3B9FEEDA" w14:textId="77777777" w:rsidR="00CB1171" w:rsidRDefault="00CB1171" w:rsidP="00CB1171">
      <w:pPr>
        <w:pStyle w:val="a3"/>
      </w:pPr>
    </w:p>
  </w:footnote>
  <w:footnote w:id="2">
    <w:p w14:paraId="019AE65C" w14:textId="77777777" w:rsidR="00CB1171" w:rsidRPr="001C7AB0" w:rsidRDefault="00CB1171" w:rsidP="00CB1171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1C7AB0">
        <w:rPr>
          <w:rFonts w:eastAsiaTheme="minorHAnsi"/>
          <w:sz w:val="24"/>
          <w:szCs w:val="24"/>
        </w:rPr>
        <w:t>Смольский А.П. Развитие системы регулирования банкротства / А.П. Смольский // [Электронный ресурс] – Режим доступа: http://etalonline.by. –</w:t>
      </w:r>
    </w:p>
    <w:p w14:paraId="2E83FDA3" w14:textId="77777777" w:rsidR="00CB1171" w:rsidRPr="001C7AB0" w:rsidRDefault="00CB1171" w:rsidP="00CB1171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1C7AB0">
        <w:rPr>
          <w:rFonts w:eastAsiaTheme="minorHAnsi"/>
          <w:sz w:val="24"/>
          <w:szCs w:val="24"/>
        </w:rPr>
        <w:t>Дата доступа: 01.10.2023.</w:t>
      </w:r>
    </w:p>
    <w:p w14:paraId="18A6221F" w14:textId="77777777" w:rsidR="00CB1171" w:rsidRDefault="00CB1171" w:rsidP="00CB1171">
      <w:pPr>
        <w:pStyle w:val="a3"/>
      </w:pPr>
    </w:p>
  </w:footnote>
  <w:footnote w:id="3">
    <w:p w14:paraId="3877BE51" w14:textId="77777777" w:rsidR="00CB1171" w:rsidRPr="005C7CD2" w:rsidRDefault="00CB1171" w:rsidP="00CB117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1C7AB0">
        <w:rPr>
          <w:rFonts w:eastAsiaTheme="minorHAnsi"/>
          <w:sz w:val="24"/>
          <w:szCs w:val="24"/>
        </w:rPr>
        <w:t>Смольский А.П. Институт банкротства: сущность, особенности и проблемы функционирования на современном этапе / А.П. Смольский // [Электронный ресурс] – Режим доступа: http://www.mirkin.ru. – Дата доступа: 01.10.2023.</w:t>
      </w:r>
    </w:p>
    <w:p w14:paraId="64CCEA59" w14:textId="77777777" w:rsidR="00CB1171" w:rsidRDefault="00CB1171" w:rsidP="00CB1171">
      <w:pPr>
        <w:pStyle w:val="a3"/>
      </w:pPr>
    </w:p>
  </w:footnote>
  <w:footnote w:id="4">
    <w:p w14:paraId="2447546A" w14:textId="77777777" w:rsidR="00CB1171" w:rsidRPr="001C7AB0" w:rsidRDefault="00CB1171" w:rsidP="00CB1171">
      <w:pPr>
        <w:widowControl/>
        <w:adjustRightInd w:val="0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1C7AB0">
        <w:rPr>
          <w:rFonts w:eastAsiaTheme="minorHAnsi"/>
          <w:sz w:val="24"/>
          <w:szCs w:val="24"/>
        </w:rPr>
        <w:t>Хашиев Э.Х. Развитие института банкротства в России: особенности правового регулирования / Э.Х. Хашиев // Научный электронный журнал Меридиан. – 2020.– № 4 (38). – С. 171-173.</w:t>
      </w:r>
    </w:p>
    <w:p w14:paraId="5F7E388D" w14:textId="77777777" w:rsidR="00CB1171" w:rsidRDefault="00CB1171" w:rsidP="00CB117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FD"/>
    <w:rsid w:val="00315365"/>
    <w:rsid w:val="00332E4E"/>
    <w:rsid w:val="00485AFD"/>
    <w:rsid w:val="004A68D0"/>
    <w:rsid w:val="0090416F"/>
    <w:rsid w:val="00C95BC9"/>
    <w:rsid w:val="00CB1171"/>
    <w:rsid w:val="00E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003C"/>
  <w15:chartTrackingRefBased/>
  <w15:docId w15:val="{ABB21DBE-EA08-4D3A-B971-B3C3F16F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1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117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117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1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2114</Words>
  <Characters>12052</Characters>
  <Application>Microsoft Office Word</Application>
  <DocSecurity>0</DocSecurity>
  <Lines>100</Lines>
  <Paragraphs>28</Paragraphs>
  <ScaleCrop>false</ScaleCrop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AMS</cp:lastModifiedBy>
  <cp:revision>3</cp:revision>
  <dcterms:created xsi:type="dcterms:W3CDTF">2026-01-13T11:05:00Z</dcterms:created>
  <dcterms:modified xsi:type="dcterms:W3CDTF">2026-01-13T11:09:00Z</dcterms:modified>
</cp:coreProperties>
</file>