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0F" w:rsidRDefault="009A170F" w:rsidP="009A170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9A170F" w:rsidRPr="009A170F" w:rsidRDefault="009A170F" w:rsidP="009A170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технологий в образовательном процессе, как способ контроля знаний</w:t>
      </w:r>
    </w:p>
    <w:p w:rsidR="00306768" w:rsidRPr="00D3732D" w:rsidRDefault="0019740F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32D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в учебном процессе является неотъемлемой частью совершенствования самого педагога, а так же побуждение заинтересованности образовательным процессом самого обучающегося. На сегодняшний день используется много всевозможных способов </w:t>
      </w:r>
      <w:r w:rsidR="00306768" w:rsidRPr="00D3732D">
        <w:rPr>
          <w:rFonts w:ascii="Times New Roman" w:hAnsi="Times New Roman" w:cs="Times New Roman"/>
          <w:sz w:val="28"/>
          <w:szCs w:val="28"/>
        </w:rPr>
        <w:t xml:space="preserve">закрепления знаний. </w:t>
      </w:r>
    </w:p>
    <w:p w:rsidR="00C444AA" w:rsidRPr="00D3732D" w:rsidRDefault="00306768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32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3732D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3732D">
        <w:rPr>
          <w:rFonts w:ascii="Times New Roman" w:hAnsi="Times New Roman" w:cs="Times New Roman"/>
          <w:sz w:val="28"/>
          <w:szCs w:val="28"/>
        </w:rPr>
        <w:t xml:space="preserve"> – форма, состоящая из пяти строк. 1 строка - </w:t>
      </w:r>
      <w:r w:rsidR="0019740F" w:rsidRPr="00D3732D">
        <w:rPr>
          <w:rFonts w:ascii="Times New Roman" w:hAnsi="Times New Roman" w:cs="Times New Roman"/>
          <w:sz w:val="28"/>
          <w:szCs w:val="28"/>
        </w:rPr>
        <w:t xml:space="preserve"> </w:t>
      </w:r>
      <w:r w:rsidRPr="00D3732D">
        <w:rPr>
          <w:rFonts w:ascii="Times New Roman" w:hAnsi="Times New Roman" w:cs="Times New Roman"/>
          <w:sz w:val="28"/>
          <w:szCs w:val="28"/>
        </w:rPr>
        <w:t>заголовок (тема занятия), 2 строка – два прилагательных, 3 строка – три глагола,  4 строка -  фраза, которая несет определенный смысл занятия, 5 строка – существительное, синоним заголовка.</w:t>
      </w:r>
      <w:proofErr w:type="gramEnd"/>
      <w:r w:rsidRPr="00D3732D">
        <w:rPr>
          <w:rFonts w:ascii="Times New Roman" w:hAnsi="Times New Roman" w:cs="Times New Roman"/>
          <w:sz w:val="28"/>
          <w:szCs w:val="28"/>
        </w:rPr>
        <w:t xml:space="preserve"> Такой метод работы помогает закрепить пройденный материал ключевыми словами, которые несли конкретную смысловую нагрузку. Данный метод</w:t>
      </w:r>
      <w:r w:rsidR="00F551E9" w:rsidRPr="00D3732D">
        <w:rPr>
          <w:rFonts w:ascii="Times New Roman" w:hAnsi="Times New Roman" w:cs="Times New Roman"/>
          <w:sz w:val="28"/>
          <w:szCs w:val="28"/>
        </w:rPr>
        <w:t xml:space="preserve"> работы, как формы свободного творчества, </w:t>
      </w:r>
      <w:r w:rsidRPr="00D3732D">
        <w:rPr>
          <w:rFonts w:ascii="Times New Roman" w:hAnsi="Times New Roman" w:cs="Times New Roman"/>
          <w:sz w:val="28"/>
          <w:szCs w:val="28"/>
        </w:rPr>
        <w:t xml:space="preserve">можно предложить как обобщение после пройденной темы, но и составить свой </w:t>
      </w:r>
      <w:proofErr w:type="spellStart"/>
      <w:r w:rsidRPr="00D3732D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3732D">
        <w:rPr>
          <w:rFonts w:ascii="Times New Roman" w:hAnsi="Times New Roman" w:cs="Times New Roman"/>
          <w:sz w:val="28"/>
          <w:szCs w:val="28"/>
        </w:rPr>
        <w:t xml:space="preserve"> каждому учащемуся индивидуально, как индивидуальный вывод. </w:t>
      </w:r>
    </w:p>
    <w:p w:rsidR="00F551E9" w:rsidRPr="00D3732D" w:rsidRDefault="00F551E9" w:rsidP="00D3732D">
      <w:pPr>
        <w:pStyle w:val="a3"/>
        <w:shd w:val="clear" w:color="auto" w:fill="FFFFFF"/>
        <w:spacing w:before="120" w:beforeAutospacing="0" w:after="0" w:afterAutospacing="0" w:line="360" w:lineRule="auto"/>
        <w:ind w:firstLine="384"/>
        <w:jc w:val="both"/>
        <w:rPr>
          <w:color w:val="1E1E1E"/>
          <w:spacing w:val="1"/>
          <w:sz w:val="28"/>
          <w:szCs w:val="28"/>
        </w:rPr>
      </w:pPr>
      <w:r w:rsidRPr="00D3732D">
        <w:rPr>
          <w:sz w:val="28"/>
          <w:szCs w:val="28"/>
        </w:rPr>
        <w:t xml:space="preserve">Преимуществом данного метода является вариативность. Возможны различные вариации, как самостоятельное составление, так работы в паре или группе. </w:t>
      </w:r>
      <w:r w:rsidRPr="00D3732D">
        <w:rPr>
          <w:color w:val="1E1E1E"/>
          <w:spacing w:val="1"/>
          <w:sz w:val="28"/>
          <w:szCs w:val="28"/>
        </w:rPr>
        <w:t xml:space="preserve">Различные вариации для составления </w:t>
      </w:r>
      <w:proofErr w:type="spellStart"/>
      <w:r w:rsidRPr="00D3732D">
        <w:rPr>
          <w:color w:val="1E1E1E"/>
          <w:spacing w:val="1"/>
          <w:sz w:val="28"/>
          <w:szCs w:val="28"/>
        </w:rPr>
        <w:t>синквейна</w:t>
      </w:r>
      <w:proofErr w:type="spellEnd"/>
      <w:r w:rsidRPr="00D3732D">
        <w:rPr>
          <w:color w:val="1E1E1E"/>
          <w:spacing w:val="1"/>
          <w:sz w:val="28"/>
          <w:szCs w:val="28"/>
        </w:rPr>
        <w:t xml:space="preserve"> способствуют разноплановому составлению заданий. </w:t>
      </w:r>
    </w:p>
    <w:p w:rsidR="00F551E9" w:rsidRPr="00D3732D" w:rsidRDefault="00F551E9" w:rsidP="00D3732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84"/>
        <w:jc w:val="both"/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</w:pPr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составление краткого рассказа по </w:t>
      </w:r>
      <w:proofErr w:type="gram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готовому</w:t>
      </w:r>
      <w:proofErr w:type="gram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</w:t>
      </w:r>
      <w:proofErr w:type="spell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синквейну</w:t>
      </w:r>
      <w:proofErr w:type="spell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(с использованием слов и фраз, входящих в состав </w:t>
      </w:r>
      <w:proofErr w:type="spell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синквейна</w:t>
      </w:r>
      <w:proofErr w:type="spell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);</w:t>
      </w:r>
    </w:p>
    <w:p w:rsidR="00F551E9" w:rsidRPr="00D3732D" w:rsidRDefault="00F551E9" w:rsidP="00D3732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84"/>
        <w:jc w:val="both"/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</w:pPr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коррекция и совершенствование </w:t>
      </w:r>
      <w:proofErr w:type="gram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готового</w:t>
      </w:r>
      <w:proofErr w:type="gram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</w:t>
      </w:r>
      <w:proofErr w:type="spell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синквейна</w:t>
      </w:r>
      <w:proofErr w:type="spell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;</w:t>
      </w:r>
    </w:p>
    <w:p w:rsidR="00F551E9" w:rsidRPr="00D3732D" w:rsidRDefault="00F551E9" w:rsidP="00D3732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84"/>
        <w:jc w:val="both"/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</w:pPr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анализ неполного </w:t>
      </w:r>
      <w:proofErr w:type="spell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синквейна</w:t>
      </w:r>
      <w:proofErr w:type="spell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для определения отсутствующей части (например, дан </w:t>
      </w:r>
      <w:proofErr w:type="spell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синквейн</w:t>
      </w:r>
      <w:proofErr w:type="spell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без указания темы — без первой строки, необходимо на основе </w:t>
      </w:r>
      <w:proofErr w:type="gramStart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существующих</w:t>
      </w:r>
      <w:proofErr w:type="gramEnd"/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её определить).</w:t>
      </w:r>
    </w:p>
    <w:p w:rsidR="00F551E9" w:rsidRPr="00D3732D" w:rsidRDefault="00F551E9" w:rsidP="00D3732D">
      <w:pPr>
        <w:shd w:val="clear" w:color="auto" w:fill="FFFFFF"/>
        <w:spacing w:before="100" w:beforeAutospacing="1" w:after="0" w:line="360" w:lineRule="auto"/>
        <w:ind w:left="24" w:firstLine="360"/>
        <w:jc w:val="both"/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</w:pPr>
      <w:r w:rsidRPr="00D3732D"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lastRenderedPageBreak/>
        <w:t>2) кластер – форма, представляющая собой некую схему, на которой строится определенная тема. В нее вносятся основные понятия, которые ее отражают. Допустим, сера, как химический элемент и как вещество.</w:t>
      </w:r>
    </w:p>
    <w:p w:rsidR="00D3732D" w:rsidRDefault="00D3732D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32D" w:rsidRDefault="00D3732D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9F7EE3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9.35pt;margin-top:105.05pt;width:124.3pt;height:69.95pt;z-index:251668480">
            <v:textbox>
              <w:txbxContent>
                <w:p w:rsidR="00F551E9" w:rsidRDefault="00F551E9">
                  <w:r>
                    <w:t>Нахождение в природе, применение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129.35pt;margin-top:210.3pt;width:96.45pt;height:52.3pt;z-index:251667456">
            <v:textbox>
              <w:txbxContent>
                <w:p w:rsidR="00F551E9" w:rsidRDefault="00F551E9">
                  <w:r>
                    <w:t>Основные соединения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318.2pt;margin-top:55.45pt;width:129.3pt;height:73.35pt;z-index:251665408">
            <v:textbox>
              <w:txbxContent>
                <w:p w:rsidR="00F551E9" w:rsidRDefault="00F551E9">
                  <w:r>
                    <w:t>Взаимодействие с простыми веществами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264.8pt;margin-top:210.3pt;width:135.8pt;height:74.05pt;z-index:251666432">
            <v:textbox>
              <w:txbxContent>
                <w:p w:rsidR="00F551E9" w:rsidRDefault="00F551E9">
                  <w:r>
                    <w:t>Взаимодействие со сложными веществами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left:0;text-align:left;margin-left:190.05pt;margin-top:20.8pt;width:96.45pt;height:53pt;z-index:251664384">
            <v:textbox>
              <w:txbxContent>
                <w:p w:rsidR="00F551E9" w:rsidRDefault="00F551E9">
                  <w:r>
                    <w:t>Физические свойства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2.75pt;margin-top:179.75pt;width:15.65pt;height:30.55pt;flip:x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272.9pt;margin-top:179.75pt;width:25.15pt;height:30.5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33.65pt;margin-top:141.05pt;width:49.6pt;height:8.15pt;flip:x y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86.5pt;margin-top:105.05pt;width:35.3pt;height:27.85pt;flip: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36.9pt;margin-top:73.8pt;width:2.05pt;height:45.5pt;flip:y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83.25pt;margin-top:119.3pt;width:114.8pt;height:65.2pt;z-index:251658240">
            <v:textbox>
              <w:txbxContent>
                <w:p w:rsidR="00F551E9" w:rsidRDefault="00F551E9" w:rsidP="00F551E9">
                  <w:pPr>
                    <w:jc w:val="center"/>
                  </w:pPr>
                  <w:r>
                    <w:t>Сера</w:t>
                  </w:r>
                </w:p>
              </w:txbxContent>
            </v:textbox>
          </v:oval>
        </w:pict>
      </w: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1E9" w:rsidRPr="00D3732D" w:rsidRDefault="00F551E9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32D">
        <w:rPr>
          <w:rFonts w:ascii="Times New Roman" w:hAnsi="Times New Roman" w:cs="Times New Roman"/>
          <w:sz w:val="28"/>
          <w:szCs w:val="28"/>
        </w:rPr>
        <w:t xml:space="preserve">Основываясь на данной схеме, можно предложить </w:t>
      </w:r>
      <w:proofErr w:type="gramStart"/>
      <w:r w:rsidRPr="00D3732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3732D">
        <w:rPr>
          <w:rFonts w:ascii="Times New Roman" w:hAnsi="Times New Roman" w:cs="Times New Roman"/>
          <w:sz w:val="28"/>
          <w:szCs w:val="28"/>
        </w:rPr>
        <w:t xml:space="preserve"> выполнить домашнее задание, либо самостоятельно выполнить данное задание. </w:t>
      </w:r>
      <w:r w:rsidR="0078765F" w:rsidRPr="00D3732D">
        <w:rPr>
          <w:rFonts w:ascii="Times New Roman" w:hAnsi="Times New Roman" w:cs="Times New Roman"/>
          <w:sz w:val="28"/>
          <w:szCs w:val="28"/>
        </w:rPr>
        <w:t xml:space="preserve"> Этот способ так же можно использовать как метод проверки знаний, включив его в самостоятельную работу.</w:t>
      </w:r>
    </w:p>
    <w:p w:rsidR="0078765F" w:rsidRPr="00D3732D" w:rsidRDefault="0078765F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32D">
        <w:rPr>
          <w:rFonts w:ascii="Times New Roman" w:hAnsi="Times New Roman" w:cs="Times New Roman"/>
          <w:sz w:val="28"/>
          <w:szCs w:val="28"/>
        </w:rPr>
        <w:t xml:space="preserve">3) Новый способ проверки знаний, и еще мало освоенный является использование </w:t>
      </w:r>
      <w:r w:rsidRPr="00D3732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D3732D">
        <w:rPr>
          <w:rFonts w:ascii="Times New Roman" w:hAnsi="Times New Roman" w:cs="Times New Roman"/>
          <w:sz w:val="28"/>
          <w:szCs w:val="28"/>
        </w:rPr>
        <w:t>-кодов с заданиями. Данный инструмент обладает преимуществом – ненужно тратить время на проверку заданий, так как все результаты отображаются в сводной таблице. Для создания такого теста необходимо снач</w:t>
      </w:r>
      <w:r w:rsidR="009A170F">
        <w:rPr>
          <w:rFonts w:ascii="Times New Roman" w:hAnsi="Times New Roman" w:cs="Times New Roman"/>
          <w:sz w:val="28"/>
          <w:szCs w:val="28"/>
        </w:rPr>
        <w:t xml:space="preserve">ала сформировать тест в </w:t>
      </w:r>
      <w:proofErr w:type="spellStart"/>
      <w:r w:rsidR="009A170F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9A170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3732D">
        <w:rPr>
          <w:rFonts w:ascii="Times New Roman" w:hAnsi="Times New Roman" w:cs="Times New Roman"/>
          <w:sz w:val="28"/>
          <w:szCs w:val="28"/>
        </w:rPr>
        <w:t>орме</w:t>
      </w:r>
      <w:proofErr w:type="spellEnd"/>
      <w:r w:rsidRPr="00D3732D">
        <w:rPr>
          <w:rFonts w:ascii="Times New Roman" w:hAnsi="Times New Roman" w:cs="Times New Roman"/>
          <w:sz w:val="28"/>
          <w:szCs w:val="28"/>
        </w:rPr>
        <w:t xml:space="preserve"> или любой другой сети, которая помогает собирать статистику автоматически. Далее копируется ссылка и вставляется в генератор </w:t>
      </w:r>
      <w:r w:rsidRPr="00D3732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D3732D">
        <w:rPr>
          <w:rFonts w:ascii="Times New Roman" w:hAnsi="Times New Roman" w:cs="Times New Roman"/>
          <w:sz w:val="28"/>
          <w:szCs w:val="28"/>
        </w:rPr>
        <w:t xml:space="preserve">-кодов, который копируется </w:t>
      </w:r>
      <w:r w:rsidRPr="00D3732D">
        <w:rPr>
          <w:rFonts w:ascii="Times New Roman" w:hAnsi="Times New Roman" w:cs="Times New Roman"/>
          <w:sz w:val="28"/>
          <w:szCs w:val="28"/>
        </w:rPr>
        <w:lastRenderedPageBreak/>
        <w:t xml:space="preserve">либо делается </w:t>
      </w:r>
      <w:proofErr w:type="spellStart"/>
      <w:r w:rsidRPr="00D3732D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D3732D">
        <w:rPr>
          <w:rFonts w:ascii="Times New Roman" w:hAnsi="Times New Roman" w:cs="Times New Roman"/>
          <w:sz w:val="28"/>
          <w:szCs w:val="28"/>
        </w:rPr>
        <w:t xml:space="preserve"> экрана и может быть вставлен в документ </w:t>
      </w:r>
      <w:r w:rsidRPr="00D3732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D3732D">
        <w:rPr>
          <w:rFonts w:ascii="Times New Roman" w:hAnsi="Times New Roman" w:cs="Times New Roman"/>
          <w:sz w:val="28"/>
          <w:szCs w:val="28"/>
        </w:rPr>
        <w:t xml:space="preserve">, </w:t>
      </w:r>
      <w:r w:rsidRPr="00D3732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3732D">
        <w:rPr>
          <w:rFonts w:ascii="Times New Roman" w:hAnsi="Times New Roman" w:cs="Times New Roman"/>
          <w:sz w:val="28"/>
          <w:szCs w:val="28"/>
        </w:rPr>
        <w:t xml:space="preserve"> </w:t>
      </w:r>
      <w:r w:rsidRPr="00D3732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3732D">
        <w:rPr>
          <w:rFonts w:ascii="Times New Roman" w:hAnsi="Times New Roman" w:cs="Times New Roman"/>
          <w:sz w:val="28"/>
          <w:szCs w:val="28"/>
        </w:rPr>
        <w:t xml:space="preserve">, либо любой другой печатный документ. </w:t>
      </w:r>
    </w:p>
    <w:p w:rsidR="0078765F" w:rsidRPr="00D3732D" w:rsidRDefault="0078765F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32D">
        <w:rPr>
          <w:rFonts w:ascii="Times New Roman" w:hAnsi="Times New Roman" w:cs="Times New Roman"/>
          <w:sz w:val="28"/>
          <w:szCs w:val="28"/>
        </w:rPr>
        <w:t xml:space="preserve">Преимуществом  является автономность теста, не нужно затрачивать время на проверку, как было сказано ранее. Так же огромным плюсом является то, что во время решения такого теста занят браузер и обучающиеся не могут выйти оттуда, так как тест может закрыться, а количество прохождений можно установить при формировании самой формы. </w:t>
      </w:r>
    </w:p>
    <w:p w:rsidR="0078765F" w:rsidRPr="00D3732D" w:rsidRDefault="0078765F" w:rsidP="00D3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32D">
        <w:rPr>
          <w:rFonts w:ascii="Times New Roman" w:hAnsi="Times New Roman" w:cs="Times New Roman"/>
          <w:sz w:val="28"/>
          <w:szCs w:val="28"/>
        </w:rPr>
        <w:t>Существует еще множество возможных способов образовательных технологий для усвоения и проверки знаний. На этом процес</w:t>
      </w:r>
      <w:r w:rsidR="00C22B8E" w:rsidRPr="00D3732D">
        <w:rPr>
          <w:rFonts w:ascii="Times New Roman" w:hAnsi="Times New Roman" w:cs="Times New Roman"/>
          <w:sz w:val="28"/>
          <w:szCs w:val="28"/>
        </w:rPr>
        <w:t>с развития не останавливается, так как внедрение новых технологий требует от педагога так же совершенствований учебного процесса, внедрения</w:t>
      </w:r>
      <w:r w:rsidR="009A170F">
        <w:rPr>
          <w:rFonts w:ascii="Times New Roman" w:hAnsi="Times New Roman" w:cs="Times New Roman"/>
          <w:sz w:val="28"/>
          <w:szCs w:val="28"/>
        </w:rPr>
        <w:t xml:space="preserve"> новых методов контроля знаний и обладания умениями пользования ИКТ.</w:t>
      </w:r>
    </w:p>
    <w:p w:rsidR="0078765F" w:rsidRPr="00D3732D" w:rsidRDefault="0078765F" w:rsidP="00D37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65F" w:rsidRPr="00D3732D" w:rsidSect="00C4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E41"/>
    <w:multiLevelType w:val="multilevel"/>
    <w:tmpl w:val="CA3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740F"/>
    <w:rsid w:val="00013FD8"/>
    <w:rsid w:val="0019740F"/>
    <w:rsid w:val="00306768"/>
    <w:rsid w:val="006C1FEC"/>
    <w:rsid w:val="0078765F"/>
    <w:rsid w:val="009A170F"/>
    <w:rsid w:val="009F7EE3"/>
    <w:rsid w:val="00C22B8E"/>
    <w:rsid w:val="00C444AA"/>
    <w:rsid w:val="00D35BC6"/>
    <w:rsid w:val="00D3732D"/>
    <w:rsid w:val="00F5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2025-12-05T06:23:00Z</dcterms:created>
  <dcterms:modified xsi:type="dcterms:W3CDTF">2026-01-14T08:57:00Z</dcterms:modified>
</cp:coreProperties>
</file>