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5291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firstLine="221"/>
        <w:jc w:val="right"/>
        <w:textAlignment w:val="auto"/>
        <w:rPr>
          <w:rFonts w:ascii="Times New Roman" w:hAnsi="Times New Roman" w:cs="Times New Roman"/>
          <w:sz w:val="24"/>
          <w:szCs w:val="24"/>
        </w:rPr>
      </w:pPr>
      <w:r>
        <w:rPr>
          <w:rFonts w:ascii="Times New Roman" w:hAnsi="Times New Roman" w:cs="Times New Roman"/>
          <w:sz w:val="24"/>
          <w:szCs w:val="24"/>
        </w:rPr>
        <w:t>Тютюнькова Ольга Михайловна</w:t>
      </w:r>
    </w:p>
    <w:p w14:paraId="796F858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firstLine="221"/>
        <w:jc w:val="right"/>
        <w:textAlignment w:val="auto"/>
        <w:rPr>
          <w:rFonts w:ascii="Times New Roman" w:hAnsi="Times New Roman" w:cs="Times New Roman"/>
          <w:sz w:val="24"/>
          <w:szCs w:val="24"/>
        </w:rPr>
      </w:pPr>
      <w:r>
        <w:rPr>
          <w:rFonts w:ascii="Times New Roman" w:hAnsi="Times New Roman" w:cs="Times New Roman"/>
          <w:sz w:val="24"/>
          <w:szCs w:val="24"/>
        </w:rPr>
        <w:t>Учитель истории и обществознания</w:t>
      </w:r>
    </w:p>
    <w:p w14:paraId="57CF6D3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tLeast"/>
        <w:ind w:firstLine="221"/>
        <w:jc w:val="right"/>
        <w:textAlignment w:val="auto"/>
        <w:rPr>
          <w:rFonts w:ascii="Times New Roman" w:hAnsi="Times New Roman" w:cs="Times New Roman"/>
          <w:sz w:val="24"/>
          <w:szCs w:val="24"/>
        </w:rPr>
      </w:pPr>
      <w:r>
        <w:rPr>
          <w:rFonts w:ascii="Times New Roman" w:hAnsi="Times New Roman" w:cs="Times New Roman"/>
          <w:sz w:val="24"/>
          <w:szCs w:val="24"/>
        </w:rPr>
        <w:t xml:space="preserve"> МБОУ «Усть-Коксинская СОШ»</w:t>
      </w:r>
    </w:p>
    <w:p w14:paraId="70D3F70C">
      <w:pPr>
        <w:spacing w:line="360" w:lineRule="auto"/>
        <w:ind w:firstLine="709"/>
        <w:contextualSpacing/>
        <w:jc w:val="right"/>
        <w:rPr>
          <w:rStyle w:val="4"/>
          <w:rFonts w:eastAsia="Calibri"/>
          <w:sz w:val="28"/>
          <w:szCs w:val="28"/>
        </w:rPr>
      </w:pPr>
    </w:p>
    <w:p w14:paraId="75100FEF">
      <w:pPr>
        <w:spacing w:line="360" w:lineRule="auto"/>
        <w:ind w:firstLine="709"/>
        <w:contextualSpacing/>
        <w:jc w:val="center"/>
        <w:rPr>
          <w:rStyle w:val="4"/>
          <w:rFonts w:eastAsia="Calibri"/>
          <w:sz w:val="28"/>
          <w:szCs w:val="28"/>
        </w:rPr>
      </w:pPr>
      <w:r>
        <w:rPr>
          <w:rStyle w:val="4"/>
          <w:rFonts w:eastAsia="Calibri"/>
          <w:sz w:val="28"/>
          <w:szCs w:val="28"/>
        </w:rPr>
        <w:t>Прав ли был Александр III, когда сказал, что у России всего два союзника: армия и флот?</w:t>
      </w:r>
    </w:p>
    <w:p w14:paraId="62475D80">
      <w:pPr>
        <w:spacing w:line="360" w:lineRule="auto"/>
        <w:ind w:firstLine="709"/>
        <w:contextualSpacing/>
        <w:rPr>
          <w:rStyle w:val="4"/>
          <w:rFonts w:eastAsia="Calibri"/>
          <w:sz w:val="28"/>
          <w:szCs w:val="28"/>
          <w:lang w:val="en-US"/>
        </w:rPr>
      </w:pPr>
    </w:p>
    <w:p w14:paraId="5FFE5E71">
      <w:pPr>
        <w:spacing w:line="360" w:lineRule="auto"/>
        <w:ind w:firstLine="709"/>
        <w:contextualSpacing/>
        <w:jc w:val="both"/>
        <w:rPr>
          <w:rStyle w:val="4"/>
          <w:rFonts w:eastAsia="Calibri"/>
          <w:sz w:val="28"/>
          <w:szCs w:val="28"/>
        </w:rPr>
      </w:pPr>
      <w:r>
        <w:rPr>
          <w:rStyle w:val="4"/>
          <w:rFonts w:eastAsia="Calibri"/>
          <w:sz w:val="28"/>
          <w:szCs w:val="28"/>
        </w:rPr>
        <w:t>Высказывание императора Александра III о том, что у России есть только два верных союзника - ее армия и флот, и сегодня вызыва</w:t>
      </w:r>
      <w:bookmarkStart w:id="0" w:name="_GoBack"/>
      <w:bookmarkEnd w:id="0"/>
      <w:r>
        <w:rPr>
          <w:rStyle w:val="4"/>
          <w:rFonts w:eastAsia="Calibri"/>
          <w:sz w:val="28"/>
          <w:szCs w:val="28"/>
        </w:rPr>
        <w:t>ет живой интерес. Эта фраза, которую часто цитирует президент В.В. Путин, заставляет задуматься о роли международных альянсов и приоритетах в укреплении государственного суверенитета. В своей работе я рассмотрю, почему именно армии и флоту, а не дружественным странам, государство обеспечивает высший кредит доверия.</w:t>
      </w:r>
    </w:p>
    <w:p w14:paraId="36E4DDB9">
      <w:pPr>
        <w:spacing w:line="360" w:lineRule="auto"/>
        <w:ind w:firstLine="709"/>
        <w:contextualSpacing/>
        <w:jc w:val="both"/>
        <w:rPr>
          <w:rStyle w:val="4"/>
          <w:rFonts w:eastAsia="Calibri"/>
          <w:sz w:val="28"/>
          <w:szCs w:val="28"/>
          <w:lang w:val="en-US"/>
        </w:rPr>
      </w:pPr>
    </w:p>
    <w:p w14:paraId="5870ADEB">
      <w:pPr>
        <w:spacing w:line="360" w:lineRule="auto"/>
        <w:ind w:firstLine="709"/>
        <w:contextualSpacing/>
        <w:jc w:val="both"/>
        <w:rPr>
          <w:rStyle w:val="4"/>
          <w:rFonts w:eastAsia="Calibri"/>
          <w:sz w:val="28"/>
          <w:szCs w:val="28"/>
        </w:rPr>
      </w:pPr>
      <w:r>
        <w:rPr>
          <w:rStyle w:val="4"/>
          <w:rFonts w:eastAsia="Calibri"/>
          <w:sz w:val="28"/>
          <w:szCs w:val="28"/>
        </w:rPr>
        <w:t>Позиции международных союзов</w:t>
      </w:r>
    </w:p>
    <w:p w14:paraId="087D14EC">
      <w:pPr>
        <w:spacing w:line="360" w:lineRule="auto"/>
        <w:ind w:firstLine="709"/>
        <w:contextualSpacing/>
        <w:jc w:val="both"/>
        <w:rPr>
          <w:rStyle w:val="4"/>
          <w:rFonts w:eastAsia="Calibri"/>
          <w:sz w:val="28"/>
          <w:szCs w:val="28"/>
          <w:lang w:val="en-US"/>
        </w:rPr>
      </w:pPr>
    </w:p>
    <w:p w14:paraId="04A66DAA">
      <w:pPr>
        <w:spacing w:line="360" w:lineRule="auto"/>
        <w:ind w:firstLine="709"/>
        <w:contextualSpacing/>
        <w:jc w:val="both"/>
        <w:rPr>
          <w:rStyle w:val="4"/>
          <w:rFonts w:eastAsia="Calibri"/>
          <w:sz w:val="28"/>
          <w:szCs w:val="28"/>
        </w:rPr>
      </w:pPr>
      <w:r>
        <w:rPr>
          <w:rStyle w:val="4"/>
          <w:rFonts w:eastAsia="Calibri"/>
          <w:sz w:val="28"/>
          <w:szCs w:val="28"/>
        </w:rPr>
        <w:t>Во второй половине XIX века баланс сил в Европе стремительно менялся. Формировались новые политические блоки: Франция и Германия оставались заклятыми врагами, Германию поддерживала Австрия, а Англия, следуя принципу «разделяй и властвуй», была готова способствовать любым конфликтам в своих интересах. Все эти державы были не прочь заключить союз с Россией, чтобы использовать ее ресурсы в своих целях.</w:t>
      </w:r>
    </w:p>
    <w:p w14:paraId="7CFBE481">
      <w:pPr>
        <w:spacing w:line="360" w:lineRule="auto"/>
        <w:ind w:firstLine="709"/>
        <w:contextualSpacing/>
        <w:jc w:val="both"/>
        <w:rPr>
          <w:rStyle w:val="4"/>
          <w:rFonts w:eastAsia="Calibri"/>
          <w:sz w:val="28"/>
          <w:szCs w:val="28"/>
        </w:rPr>
      </w:pPr>
      <w:r>
        <w:rPr>
          <w:rStyle w:val="4"/>
          <w:rFonts w:eastAsia="Calibri"/>
          <w:sz w:val="28"/>
          <w:szCs w:val="28"/>
        </w:rPr>
        <w:t>Яркими примерами ненадежности таких партнерств стали «таможенная война» 1890 года с Германией и неудавшаяся попытка Великобритании создать антирусскую коалицию во время обострения ситуации в Афганистане. Неожиданный для многих союзный договор с Францией, заключенный Александром III, был не актом дружбы, а прагматичным ходом для сдерживания Германии. Император не верил европейским державам, помня их поведение во время Крымской войны и на Берлинском конгрессе 1878 года, где дипломатическими средствами были урезаны плоды русской победы над Турцией. Фактически, между «внешне дружественными» странами велась непрерывная дипломатическая война, и союзы редко приносили реальную поддержку. Именно поэтому Александр III предпочел сосредоточить усилия на укреплении внутренних ресурсов - армии и флота.</w:t>
      </w:r>
    </w:p>
    <w:p w14:paraId="4BEBB448">
      <w:pPr>
        <w:spacing w:line="360" w:lineRule="auto"/>
        <w:ind w:firstLine="709"/>
        <w:contextualSpacing/>
        <w:jc w:val="both"/>
        <w:rPr>
          <w:rStyle w:val="4"/>
          <w:rFonts w:eastAsia="Calibri"/>
          <w:sz w:val="28"/>
          <w:szCs w:val="28"/>
        </w:rPr>
      </w:pPr>
      <w:r>
        <w:rPr>
          <w:rStyle w:val="4"/>
          <w:rFonts w:eastAsia="Calibri"/>
          <w:sz w:val="28"/>
          <w:szCs w:val="28"/>
        </w:rPr>
        <w:t xml:space="preserve"> </w:t>
      </w:r>
    </w:p>
    <w:p w14:paraId="6C5DD01F">
      <w:pPr>
        <w:spacing w:line="360" w:lineRule="auto"/>
        <w:ind w:firstLine="709"/>
        <w:contextualSpacing/>
        <w:jc w:val="both"/>
        <w:rPr>
          <w:rStyle w:val="4"/>
          <w:rFonts w:eastAsia="Calibri"/>
          <w:sz w:val="28"/>
          <w:szCs w:val="28"/>
        </w:rPr>
      </w:pPr>
      <w:r>
        <w:rPr>
          <w:rStyle w:val="4"/>
          <w:rFonts w:eastAsia="Calibri"/>
          <w:sz w:val="28"/>
          <w:szCs w:val="28"/>
        </w:rPr>
        <w:t>Влияние личного опыта на формирование убеждённости Александра III</w:t>
      </w:r>
    </w:p>
    <w:p w14:paraId="4FAFD858">
      <w:pPr>
        <w:spacing w:line="360" w:lineRule="auto"/>
        <w:ind w:firstLine="709"/>
        <w:contextualSpacing/>
        <w:jc w:val="both"/>
        <w:rPr>
          <w:rStyle w:val="4"/>
          <w:rFonts w:eastAsia="Calibri"/>
          <w:sz w:val="28"/>
          <w:szCs w:val="28"/>
        </w:rPr>
      </w:pPr>
      <w:r>
        <w:rPr>
          <w:rStyle w:val="4"/>
          <w:rFonts w:eastAsia="Calibri"/>
          <w:sz w:val="28"/>
          <w:szCs w:val="28"/>
        </w:rPr>
        <w:t xml:space="preserve"> </w:t>
      </w:r>
    </w:p>
    <w:p w14:paraId="300B0DA4">
      <w:pPr>
        <w:spacing w:line="360" w:lineRule="auto"/>
        <w:ind w:firstLine="709"/>
        <w:contextualSpacing/>
        <w:jc w:val="both"/>
        <w:rPr>
          <w:rStyle w:val="4"/>
          <w:rFonts w:eastAsia="Calibri"/>
          <w:sz w:val="28"/>
          <w:szCs w:val="28"/>
        </w:rPr>
      </w:pPr>
      <w:r>
        <w:rPr>
          <w:rStyle w:val="4"/>
          <w:rFonts w:eastAsia="Calibri"/>
          <w:sz w:val="28"/>
          <w:szCs w:val="28"/>
        </w:rPr>
        <w:t>Личный опыт будущего императора, полученный во время Русско-турецкой войны 1877-1878 годов, где он командовал Рущукским отрядом, оказал на него большое влияние. Непосредственная близость к театру военных действий позволила ему увидеть как героизм солдат, так и недостатки в оснащении армии и флота. В письмах к супруге, Марии Фёдоровне, он с тревогой отмечал: «...мы здесь в Черном море должны спрятать все наши негодные суда...».</w:t>
      </w:r>
    </w:p>
    <w:p w14:paraId="5864829A">
      <w:pPr>
        <w:spacing w:line="360" w:lineRule="auto"/>
        <w:ind w:firstLine="709"/>
        <w:contextualSpacing/>
        <w:jc w:val="both"/>
        <w:rPr>
          <w:rStyle w:val="4"/>
          <w:rFonts w:eastAsia="Calibri"/>
          <w:sz w:val="28"/>
          <w:szCs w:val="28"/>
        </w:rPr>
      </w:pPr>
      <w:r>
        <w:rPr>
          <w:rStyle w:val="4"/>
          <w:rFonts w:eastAsia="Calibri"/>
          <w:sz w:val="28"/>
          <w:szCs w:val="28"/>
        </w:rPr>
        <w:t>Этот опыт сформировал его принцип: «Я рад, что был на войне и видел там все ужасы... После этого... каждый правитель... должен принимать все меры для того что бы избежать ужасов войны». Император понимал, что мало не начинать войн самому - нужно сделать так, чтобы никто не смел напасть на Россию. Он сделал все, чтобы в военно-политических вопросах можно было полагаться на собственные силы: строил броненосцы, экипировал армию современным оружием, сократил срок службы и ввел удобную форму. Армия и флот действительно становились его надёжными союзниками.</w:t>
      </w:r>
    </w:p>
    <w:p w14:paraId="3E828BBD">
      <w:pPr>
        <w:spacing w:line="360" w:lineRule="auto"/>
        <w:ind w:firstLine="709"/>
        <w:contextualSpacing/>
        <w:jc w:val="both"/>
        <w:rPr>
          <w:rStyle w:val="4"/>
          <w:rFonts w:eastAsia="Calibri"/>
          <w:sz w:val="28"/>
          <w:szCs w:val="28"/>
        </w:rPr>
      </w:pPr>
      <w:r>
        <w:rPr>
          <w:rStyle w:val="4"/>
          <w:rFonts w:eastAsia="Calibri"/>
          <w:sz w:val="28"/>
          <w:szCs w:val="28"/>
        </w:rPr>
        <w:t xml:space="preserve"> </w:t>
      </w:r>
    </w:p>
    <w:p w14:paraId="27DE7EDE">
      <w:pPr>
        <w:spacing w:line="360" w:lineRule="auto"/>
        <w:ind w:firstLine="709"/>
        <w:contextualSpacing/>
        <w:jc w:val="both"/>
        <w:rPr>
          <w:rStyle w:val="4"/>
          <w:rFonts w:eastAsia="Calibri"/>
          <w:sz w:val="28"/>
          <w:szCs w:val="28"/>
        </w:rPr>
      </w:pPr>
      <w:r>
        <w:rPr>
          <w:rStyle w:val="4"/>
          <w:rFonts w:eastAsia="Calibri"/>
          <w:sz w:val="28"/>
          <w:szCs w:val="28"/>
        </w:rPr>
        <w:t>Основные точки зрения историков</w:t>
      </w:r>
    </w:p>
    <w:p w14:paraId="2DE9AEDC">
      <w:pPr>
        <w:spacing w:line="360" w:lineRule="auto"/>
        <w:ind w:firstLine="709"/>
        <w:contextualSpacing/>
        <w:jc w:val="both"/>
        <w:rPr>
          <w:rStyle w:val="4"/>
          <w:rFonts w:eastAsia="Calibri"/>
          <w:sz w:val="28"/>
          <w:szCs w:val="28"/>
        </w:rPr>
      </w:pPr>
      <w:r>
        <w:rPr>
          <w:rStyle w:val="4"/>
          <w:rFonts w:eastAsia="Calibri"/>
          <w:sz w:val="28"/>
          <w:szCs w:val="28"/>
        </w:rPr>
        <w:t xml:space="preserve"> </w:t>
      </w:r>
    </w:p>
    <w:p w14:paraId="72C0CF3B">
      <w:pPr>
        <w:spacing w:line="360" w:lineRule="auto"/>
        <w:ind w:firstLine="709"/>
        <w:contextualSpacing/>
        <w:jc w:val="both"/>
        <w:rPr>
          <w:rStyle w:val="4"/>
          <w:rFonts w:eastAsia="Calibri"/>
          <w:sz w:val="28"/>
          <w:szCs w:val="28"/>
        </w:rPr>
      </w:pPr>
      <w:r>
        <w:rPr>
          <w:rStyle w:val="4"/>
          <w:rFonts w:eastAsia="Calibri"/>
          <w:sz w:val="28"/>
          <w:szCs w:val="28"/>
        </w:rPr>
        <w:t>Первый источник, упоминающий фразу о «двух союзниках» - мемуары великого князя Александра Михайловича. Современник царя, историк В.О. Ключевский, отмечал его миролюбивую внешнюю политику, обеспеченную мощным внутренним ресурсом. Историк советского периода Е.П. Толмачёв подчеркивал, что император, не будучи сторонником изоляционизма, ориентировался на то, чтобы «опираться на себя». Современные исследователи А. Коробова и Н. Фомина в работе «Царь-Миротворец» соглашаются с правотой Александра III. На «стратегическое одиночество России» указывает и С.М. Рогов, отмечая, что именно военная мощь веками позволяла России оставаться великой державой.</w:t>
      </w:r>
    </w:p>
    <w:p w14:paraId="3F4DA950">
      <w:pPr>
        <w:spacing w:line="360" w:lineRule="auto"/>
        <w:ind w:firstLine="709"/>
        <w:contextualSpacing/>
        <w:jc w:val="both"/>
        <w:rPr>
          <w:rStyle w:val="4"/>
          <w:rFonts w:eastAsia="Calibri"/>
          <w:sz w:val="28"/>
          <w:szCs w:val="28"/>
        </w:rPr>
      </w:pPr>
      <w:r>
        <w:rPr>
          <w:rStyle w:val="4"/>
          <w:rFonts w:eastAsia="Calibri"/>
          <w:sz w:val="28"/>
          <w:szCs w:val="28"/>
        </w:rPr>
        <w:t xml:space="preserve"> </w:t>
      </w:r>
    </w:p>
    <w:p w14:paraId="3A1D56FB">
      <w:pPr>
        <w:spacing w:line="360" w:lineRule="auto"/>
        <w:ind w:firstLine="709"/>
        <w:contextualSpacing/>
        <w:jc w:val="both"/>
        <w:rPr>
          <w:rStyle w:val="4"/>
          <w:rFonts w:eastAsia="Calibri"/>
          <w:sz w:val="28"/>
          <w:szCs w:val="28"/>
        </w:rPr>
      </w:pPr>
      <w:r>
        <w:rPr>
          <w:rStyle w:val="4"/>
          <w:rFonts w:eastAsia="Calibri"/>
          <w:sz w:val="28"/>
          <w:szCs w:val="28"/>
        </w:rPr>
        <w:t>Заключение</w:t>
      </w:r>
    </w:p>
    <w:p w14:paraId="0238EB42">
      <w:pPr>
        <w:spacing w:line="360" w:lineRule="auto"/>
        <w:ind w:firstLine="709"/>
        <w:contextualSpacing/>
        <w:jc w:val="both"/>
        <w:rPr>
          <w:rStyle w:val="4"/>
          <w:rFonts w:eastAsia="Calibri"/>
          <w:sz w:val="28"/>
          <w:szCs w:val="28"/>
        </w:rPr>
      </w:pPr>
      <w:r>
        <w:rPr>
          <w:rStyle w:val="4"/>
          <w:rFonts w:eastAsia="Calibri"/>
          <w:sz w:val="28"/>
          <w:szCs w:val="28"/>
        </w:rPr>
        <w:t xml:space="preserve"> </w:t>
      </w:r>
    </w:p>
    <w:p w14:paraId="0E9715EC">
      <w:pPr>
        <w:spacing w:line="360" w:lineRule="auto"/>
        <w:ind w:firstLine="709"/>
        <w:contextualSpacing/>
        <w:jc w:val="both"/>
        <w:rPr>
          <w:rStyle w:val="4"/>
          <w:rFonts w:eastAsia="Calibri"/>
          <w:sz w:val="28"/>
          <w:szCs w:val="28"/>
        </w:rPr>
      </w:pPr>
      <w:r>
        <w:rPr>
          <w:rStyle w:val="4"/>
          <w:rFonts w:eastAsia="Calibri"/>
          <w:sz w:val="28"/>
          <w:szCs w:val="28"/>
        </w:rPr>
        <w:t>Таким образом, утверждение Александра III было не милитаристским лозунгом, а трезвым и исторически обоснованным выводом. В условиях, когда международные союзы были непрочными и основывались на корысти, а дружелюбие держав оказывалось лицемерным, ставка на собственную армию и флот была единственной гарантией безопасности и сохранения мира. Опыт царя-миротворца доказал, что самая надежная внешняя политика - это политика внутренней силы.</w:t>
      </w:r>
    </w:p>
    <w:p w14:paraId="5D676D32">
      <w:pPr>
        <w:spacing w:line="360" w:lineRule="auto"/>
        <w:ind w:firstLine="709"/>
        <w:contextualSpacing/>
        <w:jc w:val="both"/>
        <w:rPr>
          <w:rStyle w:val="4"/>
          <w:rFonts w:eastAsia="Calibri"/>
          <w:sz w:val="28"/>
          <w:szCs w:val="28"/>
        </w:rPr>
      </w:pPr>
    </w:p>
    <w:p w14:paraId="03E85226">
      <w:pPr>
        <w:spacing w:line="360" w:lineRule="auto"/>
        <w:ind w:firstLine="709"/>
        <w:contextualSpacing/>
        <w:jc w:val="both"/>
        <w:rPr>
          <w:rStyle w:val="4"/>
          <w:rFonts w:eastAsia="Calibri"/>
          <w:sz w:val="28"/>
          <w:szCs w:val="28"/>
        </w:rPr>
      </w:pPr>
    </w:p>
    <w:p w14:paraId="0B8E3D1E">
      <w:pPr>
        <w:spacing w:line="360" w:lineRule="auto"/>
        <w:ind w:firstLine="709"/>
        <w:contextualSpacing/>
        <w:jc w:val="both"/>
        <w:rPr>
          <w:rStyle w:val="4"/>
          <w:rFonts w:eastAsia="Calibri"/>
          <w:sz w:val="28"/>
          <w:szCs w:val="28"/>
        </w:rPr>
      </w:pPr>
    </w:p>
    <w:p w14:paraId="01C88E61">
      <w:pPr>
        <w:spacing w:line="360" w:lineRule="auto"/>
        <w:ind w:firstLine="709"/>
        <w:contextualSpacing/>
        <w:jc w:val="both"/>
        <w:rPr>
          <w:rStyle w:val="4"/>
          <w:rFonts w:eastAsia="Calibri"/>
          <w:sz w:val="28"/>
          <w:szCs w:val="28"/>
        </w:rPr>
      </w:pPr>
    </w:p>
    <w:p w14:paraId="0E7CA43B">
      <w:pPr>
        <w:spacing w:line="360" w:lineRule="auto"/>
        <w:ind w:firstLine="709"/>
        <w:contextualSpacing/>
        <w:jc w:val="both"/>
        <w:rPr>
          <w:rStyle w:val="4"/>
          <w:rFonts w:eastAsia="Calibri"/>
          <w:sz w:val="28"/>
          <w:szCs w:val="28"/>
        </w:rPr>
      </w:pPr>
    </w:p>
    <w:p w14:paraId="0A9B7A8C">
      <w:pPr>
        <w:spacing w:line="360" w:lineRule="auto"/>
        <w:ind w:firstLine="709"/>
        <w:contextualSpacing/>
        <w:jc w:val="both"/>
        <w:rPr>
          <w:rStyle w:val="4"/>
          <w:rFonts w:eastAsia="Calibri"/>
          <w:sz w:val="28"/>
          <w:szCs w:val="28"/>
        </w:rPr>
      </w:pPr>
    </w:p>
    <w:p w14:paraId="4CB07B67">
      <w:pPr>
        <w:spacing w:line="360" w:lineRule="auto"/>
        <w:ind w:firstLine="709"/>
        <w:contextualSpacing/>
        <w:jc w:val="both"/>
        <w:rPr>
          <w:rStyle w:val="4"/>
          <w:rFonts w:eastAsia="Calibri"/>
          <w:sz w:val="28"/>
          <w:szCs w:val="28"/>
        </w:rPr>
      </w:pPr>
    </w:p>
    <w:p w14:paraId="772EC55B">
      <w:pPr>
        <w:spacing w:line="360" w:lineRule="auto"/>
        <w:ind w:firstLine="709"/>
        <w:contextualSpacing/>
        <w:jc w:val="both"/>
        <w:rPr>
          <w:rStyle w:val="4"/>
          <w:rFonts w:eastAsia="Calibri"/>
          <w:sz w:val="28"/>
          <w:szCs w:val="28"/>
        </w:rPr>
      </w:pPr>
    </w:p>
    <w:p w14:paraId="5CE34AA8">
      <w:pPr>
        <w:spacing w:line="360" w:lineRule="auto"/>
        <w:ind w:firstLine="709"/>
        <w:contextualSpacing/>
        <w:jc w:val="both"/>
        <w:rPr>
          <w:rStyle w:val="4"/>
          <w:rFonts w:eastAsia="Calibri"/>
          <w:sz w:val="28"/>
          <w:szCs w:val="28"/>
        </w:rPr>
      </w:pPr>
    </w:p>
    <w:p w14:paraId="02A45FC7">
      <w:pPr>
        <w:spacing w:line="360" w:lineRule="auto"/>
        <w:ind w:firstLine="709"/>
        <w:contextualSpacing/>
        <w:jc w:val="both"/>
        <w:rPr>
          <w:rStyle w:val="4"/>
          <w:rFonts w:eastAsia="Calibri"/>
          <w:sz w:val="28"/>
          <w:szCs w:val="28"/>
        </w:rPr>
      </w:pPr>
    </w:p>
    <w:p w14:paraId="15F07AA0">
      <w:pPr>
        <w:spacing w:line="360" w:lineRule="auto"/>
        <w:ind w:firstLine="709"/>
        <w:contextualSpacing/>
        <w:jc w:val="both"/>
        <w:rPr>
          <w:rStyle w:val="4"/>
          <w:rFonts w:eastAsia="Calibri"/>
          <w:sz w:val="28"/>
          <w:szCs w:val="28"/>
        </w:rPr>
      </w:pPr>
    </w:p>
    <w:p w14:paraId="1BF97C2E">
      <w:pPr>
        <w:spacing w:line="360" w:lineRule="auto"/>
        <w:ind w:firstLine="709"/>
        <w:contextualSpacing/>
        <w:jc w:val="both"/>
        <w:rPr>
          <w:rStyle w:val="4"/>
          <w:rFonts w:eastAsia="Calibri"/>
          <w:sz w:val="28"/>
          <w:szCs w:val="28"/>
        </w:rPr>
      </w:pPr>
    </w:p>
    <w:p w14:paraId="0BB4CEAE">
      <w:pPr>
        <w:spacing w:line="360" w:lineRule="auto"/>
        <w:ind w:firstLine="709"/>
        <w:contextualSpacing/>
        <w:jc w:val="both"/>
        <w:rPr>
          <w:rStyle w:val="4"/>
          <w:rFonts w:eastAsia="Calibri"/>
          <w:sz w:val="28"/>
          <w:szCs w:val="28"/>
        </w:rPr>
      </w:pPr>
    </w:p>
    <w:p w14:paraId="1F0953B2">
      <w:pPr>
        <w:spacing w:line="360" w:lineRule="auto"/>
        <w:ind w:firstLine="709"/>
        <w:contextualSpacing/>
        <w:jc w:val="both"/>
        <w:rPr>
          <w:rStyle w:val="4"/>
          <w:rFonts w:eastAsia="Calibri"/>
          <w:sz w:val="28"/>
          <w:szCs w:val="28"/>
        </w:rPr>
      </w:pPr>
    </w:p>
    <w:p w14:paraId="6E5D0B5D">
      <w:pPr>
        <w:spacing w:line="360" w:lineRule="auto"/>
        <w:ind w:firstLine="709"/>
        <w:contextualSpacing/>
        <w:jc w:val="both"/>
        <w:rPr>
          <w:rStyle w:val="4"/>
          <w:rFonts w:eastAsia="Calibri"/>
          <w:sz w:val="28"/>
          <w:szCs w:val="28"/>
        </w:rPr>
      </w:pPr>
    </w:p>
    <w:p w14:paraId="12FD8C4F">
      <w:pPr>
        <w:spacing w:line="360" w:lineRule="auto"/>
        <w:ind w:firstLine="709"/>
        <w:contextualSpacing/>
        <w:jc w:val="both"/>
        <w:rPr>
          <w:rStyle w:val="4"/>
          <w:rFonts w:eastAsia="Calibri"/>
          <w:sz w:val="28"/>
          <w:szCs w:val="28"/>
        </w:rPr>
      </w:pPr>
    </w:p>
    <w:p w14:paraId="4801C814">
      <w:pPr>
        <w:spacing w:line="360" w:lineRule="auto"/>
        <w:ind w:firstLine="709"/>
        <w:contextualSpacing/>
        <w:jc w:val="both"/>
        <w:rPr>
          <w:rStyle w:val="4"/>
          <w:rFonts w:eastAsia="Calibri"/>
          <w:sz w:val="28"/>
          <w:szCs w:val="28"/>
        </w:rPr>
      </w:pPr>
      <w:r>
        <w:rPr>
          <w:rStyle w:val="4"/>
          <w:rFonts w:eastAsia="Calibri"/>
          <w:sz w:val="28"/>
          <w:szCs w:val="28"/>
        </w:rPr>
        <w:t>Список литературы</w:t>
      </w:r>
    </w:p>
    <w:p w14:paraId="4C6BB286">
      <w:pPr>
        <w:spacing w:line="360" w:lineRule="auto"/>
        <w:ind w:firstLine="709"/>
        <w:contextualSpacing/>
        <w:jc w:val="both"/>
        <w:rPr>
          <w:rStyle w:val="4"/>
          <w:rFonts w:eastAsia="Calibri"/>
          <w:sz w:val="28"/>
          <w:szCs w:val="28"/>
        </w:rPr>
      </w:pPr>
      <w:r>
        <w:rPr>
          <w:rStyle w:val="4"/>
          <w:rFonts w:eastAsia="Calibri"/>
          <w:sz w:val="28"/>
          <w:szCs w:val="28"/>
        </w:rPr>
        <w:t>1. Толмачев Е. П. Александр III и его время. — М.: Терра-Книжный клуб, 2007.</w:t>
      </w:r>
    </w:p>
    <w:p w14:paraId="49E63C6C">
      <w:pPr>
        <w:spacing w:line="360" w:lineRule="auto"/>
        <w:ind w:firstLine="709"/>
        <w:contextualSpacing/>
        <w:jc w:val="both"/>
        <w:rPr>
          <w:rStyle w:val="4"/>
          <w:rFonts w:eastAsia="Calibri"/>
          <w:sz w:val="28"/>
          <w:szCs w:val="28"/>
        </w:rPr>
      </w:pPr>
      <w:r>
        <w:rPr>
          <w:rStyle w:val="4"/>
          <w:rFonts w:eastAsia="Calibri"/>
          <w:sz w:val="28"/>
          <w:szCs w:val="28"/>
        </w:rPr>
        <w:t>2. Коробова А., Фомина Н. Царь-Миротворец // Родина. — 2015. — № 2. — С. 139-144.</w:t>
      </w:r>
    </w:p>
    <w:p w14:paraId="7994A59A">
      <w:pPr>
        <w:spacing w:line="360" w:lineRule="auto"/>
        <w:ind w:firstLine="709"/>
        <w:contextualSpacing/>
        <w:jc w:val="both"/>
        <w:rPr>
          <w:rStyle w:val="4"/>
          <w:rFonts w:eastAsia="Calibri"/>
          <w:sz w:val="28"/>
          <w:szCs w:val="28"/>
        </w:rPr>
      </w:pPr>
      <w:r>
        <w:rPr>
          <w:rStyle w:val="4"/>
          <w:rFonts w:eastAsia="Calibri"/>
          <w:sz w:val="28"/>
          <w:szCs w:val="28"/>
        </w:rPr>
        <w:t>3. Рогов С. М. Стратегическое одиночество России // Экономические стратегии. — 2004. — Т. 6. — № 4 (30). — С. 12-17.</w:t>
      </w:r>
    </w:p>
    <w:p w14:paraId="0DDB6109">
      <w:pPr>
        <w:spacing w:line="360" w:lineRule="auto"/>
        <w:ind w:firstLine="709"/>
        <w:contextualSpacing/>
        <w:jc w:val="both"/>
        <w:rPr>
          <w:rStyle w:val="4"/>
          <w:rFonts w:eastAsia="Calibri"/>
          <w:sz w:val="28"/>
          <w:szCs w:val="28"/>
        </w:rPr>
      </w:pPr>
      <w:r>
        <w:rPr>
          <w:rStyle w:val="4"/>
          <w:rFonts w:eastAsia="Calibri"/>
          <w:sz w:val="28"/>
          <w:szCs w:val="28"/>
        </w:rPr>
        <w:t>4. Воспоминания великого князя Александра Михайловича. — [Любое издание].</w:t>
      </w:r>
    </w:p>
    <w:p w14:paraId="756FB044">
      <w:pPr>
        <w:ind w:firstLine="709"/>
        <w:contextualSpacing/>
        <w:rPr>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9815BC"/>
    <w:rsid w:val="00131902"/>
    <w:rsid w:val="0026761A"/>
    <w:rsid w:val="00744716"/>
    <w:rsid w:val="008B1DAF"/>
    <w:rsid w:val="009815BC"/>
    <w:rsid w:val="132E2F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before="100" w:beforeAutospacing="1" w:after="100" w:afterAutospacing="1" w:line="273" w:lineRule="auto"/>
    </w:pPr>
    <w:rPr>
      <w:rFonts w:ascii="Calibri" w:hAnsi="Calibri"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15"/>
    <w:basedOn w:val="2"/>
    <w:qFormat/>
    <w:uiPriority w:val="0"/>
    <w:rPr>
      <w:rFonts w:hint="default" w:ascii="Times New Roman" w:hAnsi="Times New Roman" w:cs="Times New Roman"/>
      <w:color w:val="000000"/>
      <w:w w:val="1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597</Words>
  <Characters>3752</Characters>
  <Lines>101</Lines>
  <Paragraphs>19</Paragraphs>
  <TotalTime>3</TotalTime>
  <ScaleCrop>false</ScaleCrop>
  <LinksUpToDate>false</LinksUpToDate>
  <CharactersWithSpaces>4330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2025-11-04T08:13:00Z</dcterms:created>
  <dc:creator>Пользователь</dc:creator>
  <cp:lastModifiedBy>User</cp:lastModifiedBy>
  <dcterms:modified xsi:type="dcterms:W3CDTF">2026-02-01T10:54:39Z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CA6625238BB847DAB20CB9F3C18CA27F_12</vt:lpwstr>
  </property>
</Properties>
</file>