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FE" w:rsidRDefault="00584AFE" w:rsidP="00584AFE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401B2" w:rsidRDefault="00584AFE" w:rsidP="001401B2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 xml:space="preserve">СИСТЕМА НАСТАВНИЧЕСТВА: </w:t>
      </w:r>
    </w:p>
    <w:p w:rsidR="001401B2" w:rsidRDefault="00584AFE" w:rsidP="001401B2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КЛЮЧ К РАЗВИТИЮ СОВРЕМЕННОГО ОБРАЗОВАНИЯ</w:t>
      </w:r>
    </w:p>
    <w:p w:rsidR="001401B2" w:rsidRDefault="001401B2" w:rsidP="001401B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1401B2" w:rsidRDefault="001401B2" w:rsidP="001401B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Дягилева Н.А., преподаватель первой категории </w:t>
      </w:r>
    </w:p>
    <w:p w:rsidR="001401B2" w:rsidRDefault="001401B2" w:rsidP="001401B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РС</w:t>
      </w:r>
      <w:r w:rsidRPr="00140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(Я) «Якутский колледж культуры </w:t>
      </w:r>
    </w:p>
    <w:p w:rsidR="001401B2" w:rsidRDefault="001401B2" w:rsidP="001401B2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искусств им. А.Д. Макаровой» </w:t>
      </w:r>
    </w:p>
    <w:p w:rsidR="001215BE" w:rsidRDefault="001215BE" w:rsidP="001215BE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В неустанном поиске совершенства современное образование обращается к наставничеству как к краеугольному камню развития. Это не мимолетный тренд, а стратегическая необходимость, призванная не только передавать знания, но и питать профессиональную среду, обеспечивая плавную адаптацию молодых специалистов и сохраняя бесценный опыт ветеранов. Наставничество – это симфония сотрудничества, взаимного уважения и неуклонного стремления к росту, призванная вдохнуть новую жизнь в образовательный процесс.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Государственная поддержка выступает могучим стержнем, укрепляющим эту систему. В Российской Федерации законодательство, в частности, статья 351.8 Трудового кодекса РФ, вступившая в силу с 1 марта 2025 года, декларирует весомость наставничества. Такие инициативы, как Год педагога и наставника (2023), несомненно, ускоряют его распространение, подчеркивая стратегическую важность этого движения для кадрового потенциала страны.</w:t>
      </w:r>
    </w:p>
    <w:p w:rsid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 xml:space="preserve">Для молодых специалистов наставничество становится мостом, соединяющим теоретические знания с осязаемой реальностью профессиональной деятельности. Оно призвано сгладить острые углы адаптации, снизить </w:t>
      </w:r>
      <w:proofErr w:type="spellStart"/>
      <w:r w:rsidRPr="001215BE">
        <w:rPr>
          <w:rFonts w:ascii="Times New Roman" w:hAnsi="Times New Roman" w:cs="Times New Roman"/>
          <w:sz w:val="24"/>
          <w:szCs w:val="24"/>
        </w:rPr>
        <w:t>пр</w:t>
      </w:r>
      <w:proofErr w:type="gramStart"/>
      <w:r w:rsidR="0015296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1215BE">
        <w:rPr>
          <w:rFonts w:ascii="Times New Roman" w:hAnsi="Times New Roman" w:cs="Times New Roman"/>
          <w:sz w:val="24"/>
          <w:szCs w:val="24"/>
        </w:rPr>
        <w:t>цент</w:t>
      </w:r>
      <w:proofErr w:type="spellEnd"/>
      <w:r w:rsidRPr="001215BE">
        <w:rPr>
          <w:rFonts w:ascii="Times New Roman" w:hAnsi="Times New Roman" w:cs="Times New Roman"/>
          <w:sz w:val="24"/>
          <w:szCs w:val="24"/>
        </w:rPr>
        <w:t xml:space="preserve"> ухода из профессии и заложить фундамент для долгой и плодотворной карьеры. Опытные наставники, подобно хранителям мудрости, передают не только секреты мастерства, но и жизненный опыт, формируя преемственность поколений и укрепляя кадровый потенциал образовательных учреждений. Более того, наставничество культивирует атмосферу доверия и сотрудничества, рождая </w:t>
      </w:r>
      <w:r w:rsidR="0022503D">
        <w:rPr>
          <w:rFonts w:ascii="Times New Roman" w:hAnsi="Times New Roman" w:cs="Times New Roman"/>
          <w:sz w:val="24"/>
          <w:szCs w:val="24"/>
        </w:rPr>
        <w:t>поток</w:t>
      </w:r>
      <w:r w:rsidRPr="001215BE">
        <w:rPr>
          <w:rFonts w:ascii="Times New Roman" w:hAnsi="Times New Roman" w:cs="Times New Roman"/>
          <w:sz w:val="24"/>
          <w:szCs w:val="24"/>
        </w:rPr>
        <w:t xml:space="preserve"> идей и лучших практик.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Современная система наставничества отличается системностью и многогранностью. Она разворачивается в четко очерченных этапах: подготовка, реализация и анализ результатов, что позволяет измерять ее эффективность. Это процесс, обоюдно обогащающий обе стороны: наставник, делясь опытом, сам открывает новые горизонты, а наставляемый обретает уверенность, ускоряет свое профессиональное становление и расширяет горизонты. Таким образом, наставничество формирует процветающее профессиональное сообщество, пропитанное духом взаимопомощи и поддержки.</w:t>
      </w:r>
    </w:p>
    <w:p w:rsid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 xml:space="preserve">В Якутском колледже культуры и искусств имени Аграфены Дмитриевны Макаровой наставничество расцвело не только в </w:t>
      </w:r>
      <w:r w:rsidR="00584AFE">
        <w:rPr>
          <w:rFonts w:ascii="Times New Roman" w:hAnsi="Times New Roman" w:cs="Times New Roman"/>
          <w:sz w:val="24"/>
          <w:szCs w:val="24"/>
        </w:rPr>
        <w:t>рамках «Школы молодого педагога»</w:t>
      </w:r>
      <w:r w:rsidRPr="001215BE">
        <w:rPr>
          <w:rFonts w:ascii="Times New Roman" w:hAnsi="Times New Roman" w:cs="Times New Roman"/>
          <w:sz w:val="24"/>
          <w:szCs w:val="24"/>
        </w:rPr>
        <w:t xml:space="preserve">, но и проявило себя с удивительной силой в творческом процессе. Студенческие коллективы, такие как </w:t>
      </w:r>
      <w:r w:rsidR="00584AFE">
        <w:rPr>
          <w:rFonts w:ascii="Times New Roman" w:hAnsi="Times New Roman" w:cs="Times New Roman"/>
          <w:sz w:val="24"/>
          <w:szCs w:val="24"/>
        </w:rPr>
        <w:t>народный танцевальный ансамбль «</w:t>
      </w:r>
      <w:r w:rsidR="00584AFE">
        <w:rPr>
          <w:rFonts w:ascii="Times New Roman" w:hAnsi="Times New Roman" w:cs="Times New Roman"/>
          <w:sz w:val="24"/>
          <w:szCs w:val="24"/>
          <w:lang w:val="sah-RU"/>
        </w:rPr>
        <w:t>Ө</w:t>
      </w:r>
      <w:proofErr w:type="spellStart"/>
      <w:r w:rsidR="00584AFE">
        <w:rPr>
          <w:rFonts w:ascii="Times New Roman" w:hAnsi="Times New Roman" w:cs="Times New Roman"/>
          <w:sz w:val="24"/>
          <w:szCs w:val="24"/>
        </w:rPr>
        <w:t>рк</w:t>
      </w:r>
      <w:proofErr w:type="spellEnd"/>
      <w:r w:rsidR="001401B2">
        <w:rPr>
          <w:rFonts w:ascii="Times New Roman" w:hAnsi="Times New Roman" w:cs="Times New Roman"/>
          <w:sz w:val="24"/>
          <w:szCs w:val="24"/>
          <w:lang w:val="sah-RU"/>
        </w:rPr>
        <w:t>ө</w:t>
      </w:r>
      <w:r w:rsidR="00584AFE">
        <w:rPr>
          <w:rFonts w:ascii="Times New Roman" w:hAnsi="Times New Roman" w:cs="Times New Roman"/>
          <w:sz w:val="24"/>
          <w:szCs w:val="24"/>
        </w:rPr>
        <w:t>н»</w:t>
      </w:r>
      <w:r w:rsidRPr="001215BE">
        <w:rPr>
          <w:rFonts w:ascii="Times New Roman" w:hAnsi="Times New Roman" w:cs="Times New Roman"/>
          <w:sz w:val="24"/>
          <w:szCs w:val="24"/>
        </w:rPr>
        <w:t xml:space="preserve"> (хореографическое творчество), национальный об</w:t>
      </w:r>
      <w:r w:rsidR="00584AFE">
        <w:rPr>
          <w:rFonts w:ascii="Times New Roman" w:hAnsi="Times New Roman" w:cs="Times New Roman"/>
          <w:sz w:val="24"/>
          <w:szCs w:val="24"/>
        </w:rPr>
        <w:t>рядовый театр «</w:t>
      </w:r>
      <w:proofErr w:type="spellStart"/>
      <w:r w:rsidR="00584AFE">
        <w:rPr>
          <w:rFonts w:ascii="Times New Roman" w:hAnsi="Times New Roman" w:cs="Times New Roman"/>
          <w:sz w:val="24"/>
          <w:szCs w:val="24"/>
        </w:rPr>
        <w:t>Эйгэ</w:t>
      </w:r>
      <w:proofErr w:type="spellEnd"/>
      <w:r w:rsidR="00584AFE">
        <w:rPr>
          <w:rFonts w:ascii="Times New Roman" w:hAnsi="Times New Roman" w:cs="Times New Roman"/>
          <w:sz w:val="24"/>
          <w:szCs w:val="24"/>
        </w:rPr>
        <w:t>», ансамбли «</w:t>
      </w:r>
      <w:proofErr w:type="spellStart"/>
      <w:r w:rsidR="00584AFE">
        <w:rPr>
          <w:rFonts w:ascii="Times New Roman" w:hAnsi="Times New Roman" w:cs="Times New Roman"/>
          <w:sz w:val="24"/>
          <w:szCs w:val="24"/>
        </w:rPr>
        <w:t>Толомон</w:t>
      </w:r>
      <w:proofErr w:type="spellEnd"/>
      <w:r w:rsidR="00584AFE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="00584AFE">
        <w:rPr>
          <w:rFonts w:ascii="Times New Roman" w:hAnsi="Times New Roman" w:cs="Times New Roman"/>
          <w:sz w:val="24"/>
          <w:szCs w:val="24"/>
        </w:rPr>
        <w:t>Туйаарар</w:t>
      </w:r>
      <w:proofErr w:type="spellEnd"/>
      <w:r w:rsidR="00584AFE">
        <w:rPr>
          <w:rFonts w:ascii="Times New Roman" w:hAnsi="Times New Roman" w:cs="Times New Roman"/>
          <w:sz w:val="24"/>
          <w:szCs w:val="24"/>
        </w:rPr>
        <w:t>»</w:t>
      </w:r>
      <w:r w:rsidRPr="001215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215BE">
        <w:rPr>
          <w:rFonts w:ascii="Times New Roman" w:hAnsi="Times New Roman" w:cs="Times New Roman"/>
          <w:sz w:val="24"/>
          <w:szCs w:val="24"/>
        </w:rPr>
        <w:t>этнохудожественное</w:t>
      </w:r>
      <w:proofErr w:type="spellEnd"/>
      <w:r w:rsidRPr="001215BE">
        <w:rPr>
          <w:rFonts w:ascii="Times New Roman" w:hAnsi="Times New Roman" w:cs="Times New Roman"/>
          <w:sz w:val="24"/>
          <w:szCs w:val="24"/>
        </w:rPr>
        <w:t xml:space="preserve"> творчество), студенческий театр эстрадной миниатюры </w:t>
      </w:r>
      <w:r w:rsidR="00584AFE">
        <w:rPr>
          <w:rFonts w:ascii="Times New Roman" w:hAnsi="Times New Roman" w:cs="Times New Roman"/>
          <w:sz w:val="24"/>
          <w:szCs w:val="24"/>
        </w:rPr>
        <w:t>«Этюд» и молодежный театр «К</w:t>
      </w:r>
      <w:r w:rsidR="00584AFE">
        <w:rPr>
          <w:rFonts w:ascii="Times New Roman" w:hAnsi="Times New Roman" w:cs="Times New Roman"/>
          <w:sz w:val="24"/>
          <w:szCs w:val="24"/>
          <w:lang w:val="sah-RU"/>
        </w:rPr>
        <w:t>ү</w:t>
      </w:r>
      <w:r w:rsidR="00584AFE">
        <w:rPr>
          <w:rFonts w:ascii="Times New Roman" w:hAnsi="Times New Roman" w:cs="Times New Roman"/>
          <w:sz w:val="24"/>
          <w:szCs w:val="24"/>
        </w:rPr>
        <w:t xml:space="preserve">н </w:t>
      </w:r>
      <w:r w:rsidR="00584AFE">
        <w:rPr>
          <w:rFonts w:ascii="Times New Roman" w:hAnsi="Times New Roman" w:cs="Times New Roman"/>
          <w:sz w:val="24"/>
          <w:szCs w:val="24"/>
          <w:lang w:val="sah-RU"/>
        </w:rPr>
        <w:t>Ө</w:t>
      </w:r>
      <w:proofErr w:type="spellStart"/>
      <w:r w:rsidR="00584AFE">
        <w:rPr>
          <w:rFonts w:ascii="Times New Roman" w:hAnsi="Times New Roman" w:cs="Times New Roman"/>
          <w:sz w:val="24"/>
          <w:szCs w:val="24"/>
        </w:rPr>
        <w:t>ркон</w:t>
      </w:r>
      <w:proofErr w:type="spellEnd"/>
      <w:r w:rsidR="00584AFE">
        <w:rPr>
          <w:rFonts w:ascii="Times New Roman" w:hAnsi="Times New Roman" w:cs="Times New Roman"/>
          <w:sz w:val="24"/>
          <w:szCs w:val="24"/>
        </w:rPr>
        <w:t>»</w:t>
      </w:r>
      <w:r w:rsidRPr="001215BE">
        <w:rPr>
          <w:rFonts w:ascii="Times New Roman" w:hAnsi="Times New Roman" w:cs="Times New Roman"/>
          <w:sz w:val="24"/>
          <w:szCs w:val="24"/>
        </w:rPr>
        <w:t xml:space="preserve"> (социальная культурная деятельность), ярко</w:t>
      </w:r>
      <w:bookmarkStart w:id="0" w:name="_GoBack"/>
      <w:bookmarkEnd w:id="0"/>
      <w:r w:rsidRPr="001215BE">
        <w:rPr>
          <w:rFonts w:ascii="Times New Roman" w:hAnsi="Times New Roman" w:cs="Times New Roman"/>
          <w:sz w:val="24"/>
          <w:szCs w:val="24"/>
        </w:rPr>
        <w:t xml:space="preserve"> демонстрируют персонализированный подход к наставничеству в сфере среднего профессионального образования в области культуры. Здесь профессиональные навыки переплетаются с глубоким творческим развитием. Мастер-классы, активное участие в концертах, выставках и спектаклях, индивидуальное консультирование, совместный анализ творческих работ – все это погружает студентов в реальную профессиональную среду. Наставник становится проводником, помогающим раскрыть потенциал, отточить мастерство и обрести неповторимый стиль.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lastRenderedPageBreak/>
        <w:t>Ключевые формы наставничества в сфере творческой культуры и искусства включают:</w:t>
      </w:r>
    </w:p>
    <w:p w:rsidR="001215BE" w:rsidRDefault="00584AF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«Мастер – ученик»</w:t>
      </w:r>
      <w:r w:rsidR="001215BE" w:rsidRPr="001215BE">
        <w:rPr>
          <w:rFonts w:ascii="Times New Roman" w:hAnsi="Times New Roman" w:cs="Times New Roman"/>
          <w:sz w:val="24"/>
          <w:szCs w:val="24"/>
        </w:rPr>
        <w:t>: Классическая модель, где опытный преподаватель целенаправленно готовит подопечного к ответственным мероприятиям, оттачивая технику, артистизм и интерпретацию.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Сценическая практика: Вовлечение в р</w:t>
      </w:r>
      <w:r w:rsidR="0022503D">
        <w:rPr>
          <w:rFonts w:ascii="Times New Roman" w:hAnsi="Times New Roman" w:cs="Times New Roman"/>
          <w:sz w:val="24"/>
          <w:szCs w:val="24"/>
        </w:rPr>
        <w:t>еальные творческие проекты, спе</w:t>
      </w:r>
      <w:r w:rsidRPr="001215BE">
        <w:rPr>
          <w:rFonts w:ascii="Times New Roman" w:hAnsi="Times New Roman" w:cs="Times New Roman"/>
          <w:sz w:val="24"/>
          <w:szCs w:val="24"/>
        </w:rPr>
        <w:t>ктакли и концертные программы, дающее бесценный опыт выступлений и командной работы.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Творческая мастерская: Совместное создание художественных работ, репетиции и разработка культурных мероприятий, стимулирующие обмен идеями, креативность и формирование уникального творческого почерка.</w:t>
      </w:r>
    </w:p>
    <w:p w:rsid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Методическое сопровождение: Помощь молодым педагогам в освоении методик преподавания, планирования уроков, подготовке учебных материалов и разработке авторских программ.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Благодаря этим формам работы, творческие коллективы Якутского колледжа культуры и искусств неизменно получают высокие оценки и заслуженные отзывы на фестивалях регионального, всероссийского и международного уровней. Системное внедрение такого наставничества многогранно преображает образовательную экосистему, повышая качество преподавания и позволяя молодым педагогам избегать распространенных ошибок, осваивать эффективные методики. Это, в свою очередь, ведет к улучшению образовательных результатов студентов, обогащая их не только профессиона</w:t>
      </w:r>
      <w:r w:rsidR="00584AFE">
        <w:rPr>
          <w:rFonts w:ascii="Times New Roman" w:hAnsi="Times New Roman" w:cs="Times New Roman"/>
          <w:sz w:val="24"/>
          <w:szCs w:val="24"/>
        </w:rPr>
        <w:t>льными навыками, но и развивая «гибкие навыки»</w:t>
      </w:r>
      <w:r w:rsidRPr="001215BE">
        <w:rPr>
          <w:rFonts w:ascii="Times New Roman" w:hAnsi="Times New Roman" w:cs="Times New Roman"/>
          <w:sz w:val="24"/>
          <w:szCs w:val="24"/>
        </w:rPr>
        <w:t xml:space="preserve"> – коммуникацию, критическое мышление, креативность и эмоциональный интеллект. Педагогическое сопровождение, являющееся формой наставничества, часто завершается совместными публикациями, выступлениями и участием в конкурсах, что служит мощным стимулом для дальнейшего роста. Опытные наставники, делясь мастерством, вдохновляют новое поколение, формируя устойчивую профессиональную среду, готовую к постоянному развитию и инновациям.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Однако, несмотря на очевидные преимущества, внедрение и развитие системы наставничества сопряжено с определенными трудностями:</w:t>
      </w:r>
    </w:p>
    <w:p w:rsidR="001215BE" w:rsidRPr="001215BE" w:rsidRDefault="001215BE" w:rsidP="00584AFE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Недостаток времени у наставников: Высокая учебная нагрузка опытных педагогов может ограничивать их возможности для полноценного наставничества.</w:t>
      </w:r>
    </w:p>
    <w:p w:rsidR="001215BE" w:rsidRPr="001215BE" w:rsidRDefault="001215BE" w:rsidP="00584AFE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Отсутствие четких критериев отбора наставников: Важно, чтобы наставниками становились не только опытные, но и мотивированные, обладающие отличными коммуникативными навыками и искренним желанием делиться знаниями специалисты.</w:t>
      </w:r>
    </w:p>
    <w:p w:rsidR="001215BE" w:rsidRPr="001215BE" w:rsidRDefault="001215BE" w:rsidP="00584AFE">
      <w:pPr>
        <w:pStyle w:val="a3"/>
        <w:numPr>
          <w:ilvl w:val="0"/>
          <w:numId w:val="1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Необходимость методической поддержки: Наставникам может потребоваться обучение и соответствующие методические материалы для эффективной организации процесса.</w:t>
      </w:r>
    </w:p>
    <w:p w:rsidR="001215BE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Преодоление этих вызовов требует комплексного подхода, включающего:</w:t>
      </w:r>
    </w:p>
    <w:p w:rsidR="001215BE" w:rsidRPr="001215BE" w:rsidRDefault="001215BE" w:rsidP="00584AFE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Создание системы мотивации для наставников: Это может быть как материальное стимулирование, так и моральное признание их вклада в развитие образовательного учреждения.</w:t>
      </w:r>
    </w:p>
    <w:p w:rsidR="001215BE" w:rsidRPr="001215BE" w:rsidRDefault="001215BE" w:rsidP="00584AFE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 xml:space="preserve">Разработку программ обучения для наставников: Обучение навыкам </w:t>
      </w:r>
      <w:proofErr w:type="spellStart"/>
      <w:r w:rsidRPr="001215BE">
        <w:rPr>
          <w:rFonts w:ascii="Times New Roman" w:hAnsi="Times New Roman" w:cs="Times New Roman"/>
          <w:sz w:val="24"/>
          <w:szCs w:val="24"/>
        </w:rPr>
        <w:t>коучинга</w:t>
      </w:r>
      <w:proofErr w:type="spellEnd"/>
      <w:r w:rsidRPr="001215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15BE">
        <w:rPr>
          <w:rFonts w:ascii="Times New Roman" w:hAnsi="Times New Roman" w:cs="Times New Roman"/>
          <w:sz w:val="24"/>
          <w:szCs w:val="24"/>
        </w:rPr>
        <w:t>менторинга</w:t>
      </w:r>
      <w:proofErr w:type="spellEnd"/>
      <w:r w:rsidRPr="001215BE">
        <w:rPr>
          <w:rFonts w:ascii="Times New Roman" w:hAnsi="Times New Roman" w:cs="Times New Roman"/>
          <w:sz w:val="24"/>
          <w:szCs w:val="24"/>
        </w:rPr>
        <w:t xml:space="preserve"> и эффективной обратной связи.</w:t>
      </w:r>
    </w:p>
    <w:p w:rsidR="001215BE" w:rsidRPr="001215BE" w:rsidRDefault="001215BE" w:rsidP="00584AFE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Интеграцию наставничества в общую систему управления персоналом: Включение наставнической деятельности в планы профессионального развития педагогов.</w:t>
      </w:r>
    </w:p>
    <w:p w:rsidR="001215BE" w:rsidRPr="001215BE" w:rsidRDefault="001215BE" w:rsidP="00584AFE">
      <w:pPr>
        <w:pStyle w:val="a3"/>
        <w:numPr>
          <w:ilvl w:val="0"/>
          <w:numId w:val="2"/>
        </w:num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>Использование цифровых платформ: Создание онлайн-ресурсов для обмена опытом, материалами и организации взаимодействия между наставниками и наставляемыми.</w:t>
      </w:r>
    </w:p>
    <w:p w:rsidR="004A4E40" w:rsidRPr="001215BE" w:rsidRDefault="001215BE" w:rsidP="00584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5BE">
        <w:rPr>
          <w:rFonts w:ascii="Times New Roman" w:hAnsi="Times New Roman" w:cs="Times New Roman"/>
          <w:sz w:val="24"/>
          <w:szCs w:val="24"/>
        </w:rPr>
        <w:t xml:space="preserve">Система наставничества в современном образовании – это не просто модный тренд, а фундаментальный инструмент, обеспечивающий преемственность, профессиональный </w:t>
      </w:r>
      <w:r w:rsidRPr="001215BE">
        <w:rPr>
          <w:rFonts w:ascii="Times New Roman" w:hAnsi="Times New Roman" w:cs="Times New Roman"/>
          <w:sz w:val="24"/>
          <w:szCs w:val="24"/>
        </w:rPr>
        <w:lastRenderedPageBreak/>
        <w:t>рост и повышение качества образовательного процесса. Ее актуальность подтверждается государственной поддержкой и успешными примерами внедрения в различных образовательных учреждениях, включая сферу культуры. Преодолевая существующие вызовы и развивая новые модели, наставничество продолжит играть ключевую роль в формировании высококвалифицированных педагогических кадров и обеспечении устойчивого развития образования в России. Это инвестиция в будущее, которая окупается повышением профессионализма, снижением текучести кадров и, в конечном итоге, улучшением качества образования для всех обучающихся. Таким образом, система наставничества является не просто актуальным, но и необходимым элементом современного образования, обеспечивающим его динамичное развитие и высокое качество подготовки специалистов.</w:t>
      </w:r>
    </w:p>
    <w:sectPr w:rsidR="004A4E40" w:rsidRPr="001215BE" w:rsidSect="001401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B4BB0"/>
    <w:multiLevelType w:val="hybridMultilevel"/>
    <w:tmpl w:val="C1C647F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9640BAB"/>
    <w:multiLevelType w:val="hybridMultilevel"/>
    <w:tmpl w:val="A14A33C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547"/>
    <w:rsid w:val="001215BE"/>
    <w:rsid w:val="001401B2"/>
    <w:rsid w:val="00152968"/>
    <w:rsid w:val="001A3B5B"/>
    <w:rsid w:val="00205C64"/>
    <w:rsid w:val="0022503D"/>
    <w:rsid w:val="004A4E40"/>
    <w:rsid w:val="00584AFE"/>
    <w:rsid w:val="00AC6547"/>
    <w:rsid w:val="00D667F0"/>
    <w:rsid w:val="00F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Заочное отделение</dc:creator>
  <cp:lastModifiedBy>Заочное отделение</cp:lastModifiedBy>
  <cp:revision>2</cp:revision>
  <dcterms:created xsi:type="dcterms:W3CDTF">2026-02-06T05:35:00Z</dcterms:created>
  <dcterms:modified xsi:type="dcterms:W3CDTF">2026-02-06T05:35:00Z</dcterms:modified>
</cp:coreProperties>
</file>