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F4E51" w14:textId="0726CE10" w:rsid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Давиденко Е.А. </w:t>
      </w:r>
    </w:p>
    <w:p w14:paraId="76BBDDA4" w14:textId="775247D7" w:rsidR="00EF52D2" w:rsidRP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F52D2">
        <w:rPr>
          <w:rFonts w:ascii="Times New Roman" w:hAnsi="Times New Roman" w:cs="Times New Roman"/>
          <w:i/>
          <w:iCs/>
          <w:sz w:val="28"/>
          <w:szCs w:val="28"/>
        </w:rPr>
        <w:t>студентка гр. 2291</w:t>
      </w:r>
    </w:p>
    <w:p w14:paraId="2A9AFAC5" w14:textId="42383E3A" w:rsidR="00EF52D2" w:rsidRP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F52D2">
        <w:rPr>
          <w:rFonts w:ascii="Times New Roman" w:hAnsi="Times New Roman" w:cs="Times New Roman"/>
          <w:i/>
          <w:iCs/>
          <w:sz w:val="28"/>
          <w:szCs w:val="28"/>
        </w:rPr>
        <w:t>ОГБПОУ «Томский колледж гражданского транспорта»</w:t>
      </w:r>
    </w:p>
    <w:p w14:paraId="02B80958" w14:textId="694B3960" w:rsid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511DD" w14:textId="2AE2CC34" w:rsid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Бондаренко Д.А.</w:t>
      </w:r>
    </w:p>
    <w:p w14:paraId="59C0B424" w14:textId="6576C6F2" w:rsidR="00EF52D2" w:rsidRP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F52D2">
        <w:rPr>
          <w:rFonts w:ascii="Times New Roman" w:hAnsi="Times New Roman" w:cs="Times New Roman"/>
          <w:i/>
          <w:iCs/>
          <w:sz w:val="28"/>
          <w:szCs w:val="28"/>
        </w:rPr>
        <w:t>преподаватель истории и обществознания</w:t>
      </w:r>
    </w:p>
    <w:p w14:paraId="71B38206" w14:textId="77777777" w:rsidR="00EF52D2" w:rsidRPr="00EF52D2" w:rsidRDefault="00EF52D2" w:rsidP="00EF52D2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F52D2">
        <w:rPr>
          <w:rFonts w:ascii="Times New Roman" w:hAnsi="Times New Roman" w:cs="Times New Roman"/>
          <w:i/>
          <w:iCs/>
          <w:sz w:val="28"/>
          <w:szCs w:val="28"/>
        </w:rPr>
        <w:t>ОГБПОУ «Томский колледж гражданского транспорта»</w:t>
      </w:r>
    </w:p>
    <w:p w14:paraId="18BB1C77" w14:textId="77777777" w:rsidR="00EF52D2" w:rsidRDefault="00EF52D2" w:rsidP="00F61C6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FFD59" w14:textId="0E8924A4" w:rsidR="00454671" w:rsidRPr="006C1C42" w:rsidRDefault="00454671" w:rsidP="00F61C6B">
      <w:pPr>
        <w:spacing w:line="276" w:lineRule="auto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6C1C42">
        <w:rPr>
          <w:rFonts w:ascii="Times New Roman" w:hAnsi="Times New Roman" w:cs="Times New Roman"/>
          <w:b/>
          <w:bCs/>
          <w:spacing w:val="20"/>
          <w:sz w:val="28"/>
          <w:szCs w:val="28"/>
        </w:rPr>
        <w:t>Цикличность истории: освобождение Херсона</w:t>
      </w:r>
    </w:p>
    <w:p w14:paraId="7A22F703" w14:textId="77777777" w:rsidR="00DA4BEE" w:rsidRDefault="00DA4BEE" w:rsidP="00F61C6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3E919" w14:textId="73F5FFBB" w:rsidR="00DA4BEE" w:rsidRPr="00DA4BEE" w:rsidRDefault="00DA4BEE" w:rsidP="00F61C6B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4BEE">
        <w:rPr>
          <w:rFonts w:ascii="Times New Roman" w:hAnsi="Times New Roman" w:cs="Times New Roman"/>
          <w:i/>
          <w:iCs/>
          <w:sz w:val="28"/>
          <w:szCs w:val="28"/>
        </w:rPr>
        <w:t>Аннотация</w:t>
      </w:r>
    </w:p>
    <w:p w14:paraId="469C8725" w14:textId="57EF7533" w:rsidR="00523DF2" w:rsidRPr="00454671" w:rsidRDefault="00DA4BEE" w:rsidP="00F61C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Сравнительный анализ освобождения Херсона в 1943–1944 годах и 2022–2026 годах</w:t>
      </w:r>
      <w:bookmarkStart w:id="0" w:name="_GoBack"/>
      <w:bookmarkEnd w:id="0"/>
    </w:p>
    <w:p w14:paraId="7DF97EF7" w14:textId="2A6B198A" w:rsidR="00523DF2" w:rsidRDefault="00523DF2" w:rsidP="00F61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9BF88E4" w14:textId="6EA0B366" w:rsidR="00DA4BEE" w:rsidRPr="00DA4BEE" w:rsidRDefault="00DA4BEE" w:rsidP="00F61C6B">
      <w:pPr>
        <w:spacing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A4BEE">
        <w:rPr>
          <w:rFonts w:ascii="Times New Roman" w:hAnsi="Times New Roman" w:cs="Times New Roman"/>
          <w:i/>
          <w:iCs/>
          <w:sz w:val="28"/>
          <w:szCs w:val="28"/>
        </w:rPr>
        <w:t>Ключевые слова</w:t>
      </w:r>
    </w:p>
    <w:p w14:paraId="260F35D0" w14:textId="225AEB0A" w:rsidR="00DA4BEE" w:rsidRPr="00454671" w:rsidRDefault="00DA4BEE" w:rsidP="00F61C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Херсон, Великая отечественная война, Специальная военная операция, СВО, освобождение</w:t>
      </w:r>
    </w:p>
    <w:p w14:paraId="0233F021" w14:textId="77777777" w:rsidR="00523DF2" w:rsidRPr="00454671" w:rsidRDefault="00523DF2" w:rsidP="00F61C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FD47E" w14:textId="61743250" w:rsidR="00523DF2" w:rsidRPr="00454671" w:rsidRDefault="00DA4BEE" w:rsidP="00F61C6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 xml:space="preserve">Город Херсон имеет богатую историю, связанную с многочисленными событиями, отражающими борьбу за свободу и независимость. Два ключевых периода, заслуживающих особого внимания, связаны с освобождением города в разные исторические эпохи: Великую Отечественную войну (1943–1944 годы) и современную </w:t>
      </w:r>
      <w:r w:rsidR="00454671" w:rsidRPr="00454671">
        <w:rPr>
          <w:rFonts w:ascii="Times New Roman" w:hAnsi="Times New Roman" w:cs="Times New Roman"/>
          <w:sz w:val="28"/>
          <w:szCs w:val="28"/>
        </w:rPr>
        <w:t>С</w:t>
      </w:r>
      <w:r w:rsidRPr="00454671">
        <w:rPr>
          <w:rFonts w:ascii="Times New Roman" w:hAnsi="Times New Roman" w:cs="Times New Roman"/>
          <w:sz w:val="28"/>
          <w:szCs w:val="28"/>
        </w:rPr>
        <w:t xml:space="preserve">пециальную военную операцию (2022–2026 годы). </w:t>
      </w:r>
    </w:p>
    <w:p w14:paraId="76F2DD84" w14:textId="46C10BCF" w:rsidR="00523DF2" w:rsidRPr="00454671" w:rsidRDefault="00DA4BEE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После захвата Херсона немцами в августе 1941 года, советская сторона предпринимала попытки вернуть утраченную территорию. Оккупационный режим привел к тяжелым испытаниям для местного населения, поэтому вопрос освобождения стоял остро. Важнейшим фактором стало стремление советского командования обеспечить доступ к важным коммуникациям и ресурсам региона</w:t>
      </w:r>
      <w:r w:rsidR="00587B36">
        <w:rPr>
          <w:rFonts w:ascii="Times New Roman" w:hAnsi="Times New Roman" w:cs="Times New Roman"/>
          <w:sz w:val="28"/>
          <w:szCs w:val="28"/>
        </w:rPr>
        <w:t xml:space="preserve"> </w:t>
      </w:r>
      <w:r w:rsidR="00587B36" w:rsidRPr="00587B36">
        <w:rPr>
          <w:rFonts w:ascii="Times New Roman" w:hAnsi="Times New Roman" w:cs="Times New Roman"/>
          <w:sz w:val="28"/>
          <w:szCs w:val="28"/>
        </w:rPr>
        <w:t>[2]</w:t>
      </w:r>
      <w:r w:rsidRPr="00454671">
        <w:rPr>
          <w:rFonts w:ascii="Times New Roman" w:hAnsi="Times New Roman" w:cs="Times New Roman"/>
          <w:sz w:val="28"/>
          <w:szCs w:val="28"/>
        </w:rPr>
        <w:t>.</w:t>
      </w:r>
      <w:r w:rsidR="00454671" w:rsidRPr="00454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A7FFD" w14:textId="45A67AFF" w:rsidR="00523DF2" w:rsidRPr="00454671" w:rsidRDefault="00DA4BEE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Освобождение Херсона началось весной 1944 года. Ключевую роль сыграли подразделения Красной армии, такие как 49-я гвардейская стрелковая дивизия под командованием В. Ф. Маргелова и 295-я стрелковая дивизия под командованием В. П. Дорофеева. Эти соединения успешно провели операцию по форсированию Днепра и последующему освобождению города</w:t>
      </w:r>
      <w:r w:rsidR="00587B36" w:rsidRPr="00587B36">
        <w:rPr>
          <w:rFonts w:ascii="Times New Roman" w:hAnsi="Times New Roman" w:cs="Times New Roman"/>
          <w:sz w:val="28"/>
          <w:szCs w:val="28"/>
        </w:rPr>
        <w:t xml:space="preserve"> [3]</w:t>
      </w:r>
      <w:r w:rsidRPr="00454671">
        <w:rPr>
          <w:rFonts w:ascii="Times New Roman" w:hAnsi="Times New Roman" w:cs="Times New Roman"/>
          <w:sz w:val="28"/>
          <w:szCs w:val="28"/>
        </w:rPr>
        <w:t>.</w:t>
      </w:r>
    </w:p>
    <w:p w14:paraId="4BC68C68" w14:textId="56B249C2" w:rsidR="00523DF2" w:rsidRDefault="00DA4BEE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lastRenderedPageBreak/>
        <w:t>Освобождение Херсона имело огромное значение для советской стратегии. Город вновь стал административным центром новообразованной Херсонской области, а местные жители смогли вернуться к нормальной жизни. Кроме того, победа укрепила моральный дух советских войск и продемонстрировала эффективность новой тактики ведения боевых действий</w:t>
      </w:r>
      <w:r w:rsidR="00587B36" w:rsidRPr="00587B36">
        <w:rPr>
          <w:rFonts w:ascii="Times New Roman" w:hAnsi="Times New Roman" w:cs="Times New Roman"/>
          <w:sz w:val="28"/>
          <w:szCs w:val="28"/>
        </w:rPr>
        <w:t xml:space="preserve"> [5]</w:t>
      </w:r>
      <w:r w:rsidRPr="00454671">
        <w:rPr>
          <w:rFonts w:ascii="Times New Roman" w:hAnsi="Times New Roman" w:cs="Times New Roman"/>
          <w:sz w:val="28"/>
          <w:szCs w:val="28"/>
        </w:rPr>
        <w:t>.</w:t>
      </w:r>
    </w:p>
    <w:p w14:paraId="4DF6B37D" w14:textId="77777777" w:rsidR="009D7F54" w:rsidRPr="009D7F54" w:rsidRDefault="009D7F54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7F54">
        <w:rPr>
          <w:rFonts w:ascii="Times New Roman" w:hAnsi="Times New Roman" w:cs="Times New Roman"/>
          <w:sz w:val="28"/>
          <w:szCs w:val="28"/>
        </w:rPr>
        <w:t>Спустя почти восемь десятилетий история вновь повернулась к этому региону. В конце первого десятилетия XXI века регион оказался втянутым в новые конфликты, став ареной боевых действий. Хотя конкретные обстоятельства отличаются от тех, что были в 1943-м, сходства очевидны.</w:t>
      </w:r>
    </w:p>
    <w:p w14:paraId="0C50B2E2" w14:textId="77777777" w:rsidR="009D7F54" w:rsidRPr="009D7F54" w:rsidRDefault="009D7F54" w:rsidP="00F61C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F54">
        <w:rPr>
          <w:rFonts w:ascii="Times New Roman" w:hAnsi="Times New Roman" w:cs="Times New Roman"/>
          <w:sz w:val="28"/>
          <w:szCs w:val="28"/>
        </w:rPr>
        <w:t>Современная война отличается технологиями, оружием и методами ведения боевых действий, но цель остается прежней — защита своей земли и своего народа. Люди вновь оказываются перед лицом испытаний, теряют близких, дома разрушаются, жизнь превращается в борьбу за выживание.</w:t>
      </w:r>
    </w:p>
    <w:p w14:paraId="1B056267" w14:textId="77777777" w:rsidR="00523DF2" w:rsidRPr="00454671" w:rsidRDefault="00DA4BEE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В феврале 2022 года Российская Федерация инициировала специальную военную операцию на территории Украины. Одной из целей этой операции стало обеспечение безопасности русскоязычного населения и защита национальных интересов России. Херсон оказался одним из первых крупных населенных пунктов, попавших под контроль российских вооруженных сил.</w:t>
      </w:r>
    </w:p>
    <w:p w14:paraId="4307C9BA" w14:textId="7E442FE0" w:rsidR="00523DF2" w:rsidRPr="00454671" w:rsidRDefault="00DA4BEE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Освобождение Херсона в рамках современной спецоперации проходило поэтапно. Российские войска сначала заняли ключевые позиции вокруг города, а затем постепенно расширяли зону контроля. Особенностью этого этапа стали активные действия подразделений специального назначения и использование современных технологий разведки и связи</w:t>
      </w:r>
      <w:r w:rsidR="00587B36" w:rsidRPr="00587B36">
        <w:rPr>
          <w:rFonts w:ascii="Times New Roman" w:hAnsi="Times New Roman" w:cs="Times New Roman"/>
          <w:sz w:val="28"/>
          <w:szCs w:val="28"/>
        </w:rPr>
        <w:t xml:space="preserve"> [1]</w:t>
      </w:r>
      <w:r w:rsidRPr="00454671">
        <w:rPr>
          <w:rFonts w:ascii="Times New Roman" w:hAnsi="Times New Roman" w:cs="Times New Roman"/>
          <w:sz w:val="28"/>
          <w:szCs w:val="28"/>
        </w:rPr>
        <w:t>.</w:t>
      </w:r>
    </w:p>
    <w:p w14:paraId="230DC9AF" w14:textId="64B90C33" w:rsidR="00523DF2" w:rsidRPr="00454671" w:rsidRDefault="00DA4BEE" w:rsidP="00F61C6B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Освобождение Херсона привело к значительным изменениям в политической ситуации. Регион был включен в состав Российской Федерации, что вызвало международную реакцию и внутренние преобразования. Население получило возможность участвовать в выборах и развивать экономику под новым управлением</w:t>
      </w:r>
      <w:r w:rsidR="00587B36" w:rsidRPr="00587B36">
        <w:rPr>
          <w:rFonts w:ascii="Times New Roman" w:hAnsi="Times New Roman" w:cs="Times New Roman"/>
          <w:sz w:val="28"/>
          <w:szCs w:val="28"/>
        </w:rPr>
        <w:t xml:space="preserve"> [4]</w:t>
      </w:r>
      <w:r w:rsidRPr="00454671">
        <w:rPr>
          <w:rFonts w:ascii="Times New Roman" w:hAnsi="Times New Roman" w:cs="Times New Roman"/>
          <w:sz w:val="28"/>
          <w:szCs w:val="28"/>
        </w:rPr>
        <w:t>.</w:t>
      </w:r>
      <w:r w:rsidR="00454671" w:rsidRPr="00454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CA8EC" w14:textId="77777777" w:rsidR="00523DF2" w:rsidRPr="00454671" w:rsidRDefault="00523DF2">
      <w:pPr>
        <w:rPr>
          <w:rFonts w:ascii="Times New Roman" w:hAnsi="Times New Roman" w:cs="Times New Roman"/>
        </w:rPr>
      </w:pPr>
    </w:p>
    <w:p w14:paraId="43F936A8" w14:textId="53B5E272" w:rsidR="00523DF2" w:rsidRPr="00454671" w:rsidRDefault="00DA4BEE" w:rsidP="00454671">
      <w:pPr>
        <w:jc w:val="center"/>
        <w:rPr>
          <w:rFonts w:ascii="Times New Roman" w:hAnsi="Times New Roman" w:cs="Times New Roman"/>
          <w:sz w:val="28"/>
          <w:szCs w:val="28"/>
        </w:rPr>
      </w:pPr>
      <w:r w:rsidRPr="00454671">
        <w:rPr>
          <w:rFonts w:ascii="Times New Roman" w:hAnsi="Times New Roman" w:cs="Times New Roman"/>
          <w:sz w:val="28"/>
          <w:szCs w:val="28"/>
        </w:rPr>
        <w:t>Стратегические цели</w:t>
      </w:r>
    </w:p>
    <w:p w14:paraId="4AB2AB77" w14:textId="77777777" w:rsidR="00523DF2" w:rsidRPr="00454671" w:rsidRDefault="00523DF2">
      <w:pPr>
        <w:rPr>
          <w:rFonts w:ascii="Times New Roman" w:hAnsi="Times New Roman" w:cs="Times New Roman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8149"/>
      </w:tblGrid>
      <w:tr w:rsidR="00523DF2" w:rsidRPr="00454671" w14:paraId="56813DCC" w14:textId="77777777">
        <w:trPr>
          <w:tblHeader/>
        </w:trPr>
        <w:tc>
          <w:tcPr>
            <w:tcW w:w="0" w:type="auto"/>
          </w:tcPr>
          <w:p w14:paraId="4368C54E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0" w:type="auto"/>
          </w:tcPr>
          <w:p w14:paraId="25660958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Цели</w:t>
            </w:r>
          </w:p>
        </w:tc>
      </w:tr>
      <w:tr w:rsidR="00523DF2" w:rsidRPr="00454671" w14:paraId="48375F9D" w14:textId="77777777">
        <w:tc>
          <w:tcPr>
            <w:tcW w:w="0" w:type="auto"/>
          </w:tcPr>
          <w:p w14:paraId="372CAA3B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1943–1944</w:t>
            </w:r>
          </w:p>
        </w:tc>
        <w:tc>
          <w:tcPr>
            <w:tcW w:w="0" w:type="auto"/>
          </w:tcPr>
          <w:p w14:paraId="478B5B38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Возвращение территорий, восстановление инфраструктуры, укрепление позиций Красной армии</w:t>
            </w:r>
          </w:p>
        </w:tc>
      </w:tr>
      <w:tr w:rsidR="00523DF2" w:rsidRPr="00454671" w14:paraId="70A08765" w14:textId="77777777">
        <w:tc>
          <w:tcPr>
            <w:tcW w:w="0" w:type="auto"/>
          </w:tcPr>
          <w:p w14:paraId="0F5BF5EF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2022–2026</w:t>
            </w:r>
          </w:p>
        </w:tc>
        <w:tc>
          <w:tcPr>
            <w:tcW w:w="0" w:type="auto"/>
          </w:tcPr>
          <w:p w14:paraId="55F69AE1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Защита русскоязычных граждан, интеграция региона в российскую юрисдикцию, создание стабильной обстановки</w:t>
            </w:r>
          </w:p>
        </w:tc>
      </w:tr>
    </w:tbl>
    <w:p w14:paraId="59772FD7" w14:textId="77777777" w:rsidR="00523DF2" w:rsidRPr="00454671" w:rsidRDefault="00523DF2">
      <w:pPr>
        <w:rPr>
          <w:rFonts w:ascii="Times New Roman" w:hAnsi="Times New Roman" w:cs="Times New Roman"/>
        </w:rPr>
      </w:pPr>
    </w:p>
    <w:p w14:paraId="7B4E47B3" w14:textId="77777777" w:rsidR="00523DF2" w:rsidRPr="00454671" w:rsidRDefault="00523DF2">
      <w:pPr>
        <w:rPr>
          <w:rFonts w:ascii="Times New Roman" w:hAnsi="Times New Roman" w:cs="Times New Roman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"/>
        <w:gridCol w:w="8125"/>
      </w:tblGrid>
      <w:tr w:rsidR="00523DF2" w:rsidRPr="00454671" w14:paraId="6E1220D0" w14:textId="77777777">
        <w:trPr>
          <w:tblHeader/>
        </w:trPr>
        <w:tc>
          <w:tcPr>
            <w:tcW w:w="0" w:type="auto"/>
          </w:tcPr>
          <w:p w14:paraId="0521983D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lastRenderedPageBreak/>
              <w:t>Период</w:t>
            </w:r>
          </w:p>
        </w:tc>
        <w:tc>
          <w:tcPr>
            <w:tcW w:w="0" w:type="auto"/>
          </w:tcPr>
          <w:p w14:paraId="74DA1986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Особенности ведения операций</w:t>
            </w:r>
          </w:p>
        </w:tc>
      </w:tr>
      <w:tr w:rsidR="00523DF2" w:rsidRPr="00454671" w14:paraId="18046822" w14:textId="77777777">
        <w:tc>
          <w:tcPr>
            <w:tcW w:w="0" w:type="auto"/>
          </w:tcPr>
          <w:p w14:paraId="4881C492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1943–1944</w:t>
            </w:r>
          </w:p>
        </w:tc>
        <w:tc>
          <w:tcPr>
            <w:tcW w:w="0" w:type="auto"/>
          </w:tcPr>
          <w:p w14:paraId="355EFC5E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Форсирование рек, массированные атаки пехоты, активное участие гражданского населения</w:t>
            </w:r>
          </w:p>
        </w:tc>
      </w:tr>
      <w:tr w:rsidR="00523DF2" w:rsidRPr="00454671" w14:paraId="72A949CE" w14:textId="77777777">
        <w:tc>
          <w:tcPr>
            <w:tcW w:w="0" w:type="auto"/>
          </w:tcPr>
          <w:p w14:paraId="7C1BACDA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2022–2026</w:t>
            </w:r>
          </w:p>
        </w:tc>
        <w:tc>
          <w:tcPr>
            <w:tcW w:w="0" w:type="auto"/>
          </w:tcPr>
          <w:p w14:paraId="4CC3127E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Использование беспилотников, высокоточного оружия, точечные операции специальных подразделений</w:t>
            </w:r>
          </w:p>
        </w:tc>
      </w:tr>
    </w:tbl>
    <w:p w14:paraId="63816277" w14:textId="77777777" w:rsidR="00523DF2" w:rsidRPr="00454671" w:rsidRDefault="00523DF2">
      <w:pPr>
        <w:rPr>
          <w:rFonts w:ascii="Times New Roman" w:hAnsi="Times New Roman" w:cs="Times New Roman"/>
        </w:rPr>
      </w:pPr>
    </w:p>
    <w:p w14:paraId="46FC8AC3" w14:textId="77777777" w:rsidR="00523DF2" w:rsidRPr="00454671" w:rsidRDefault="00523DF2">
      <w:pPr>
        <w:rPr>
          <w:rFonts w:ascii="Times New Roman" w:hAnsi="Times New Roman" w:cs="Times New Roman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8106"/>
      </w:tblGrid>
      <w:tr w:rsidR="00523DF2" w:rsidRPr="00454671" w14:paraId="03D3EFC0" w14:textId="77777777">
        <w:trPr>
          <w:tblHeader/>
        </w:trPr>
        <w:tc>
          <w:tcPr>
            <w:tcW w:w="0" w:type="auto"/>
          </w:tcPr>
          <w:p w14:paraId="61643F78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0" w:type="auto"/>
          </w:tcPr>
          <w:p w14:paraId="5DE3B642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Итоги</w:t>
            </w:r>
          </w:p>
        </w:tc>
      </w:tr>
      <w:tr w:rsidR="00523DF2" w:rsidRPr="00454671" w14:paraId="539A24B1" w14:textId="77777777">
        <w:tc>
          <w:tcPr>
            <w:tcW w:w="0" w:type="auto"/>
          </w:tcPr>
          <w:p w14:paraId="74A15032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1943–1944</w:t>
            </w:r>
          </w:p>
        </w:tc>
        <w:tc>
          <w:tcPr>
            <w:tcW w:w="0" w:type="auto"/>
          </w:tcPr>
          <w:p w14:paraId="6B8E77E3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Создание Херсонской области, начало восстановления экономики и социальной сферы</w:t>
            </w:r>
          </w:p>
        </w:tc>
      </w:tr>
      <w:tr w:rsidR="00523DF2" w:rsidRPr="00454671" w14:paraId="42D4B2D6" w14:textId="77777777">
        <w:tc>
          <w:tcPr>
            <w:tcW w:w="0" w:type="auto"/>
          </w:tcPr>
          <w:p w14:paraId="5B7E836C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2022–2026</w:t>
            </w:r>
          </w:p>
        </w:tc>
        <w:tc>
          <w:tcPr>
            <w:tcW w:w="0" w:type="auto"/>
          </w:tcPr>
          <w:p w14:paraId="1F84C05F" w14:textId="77777777" w:rsidR="00523DF2" w:rsidRPr="00454671" w:rsidRDefault="00DA4BEE">
            <w:pPr>
              <w:rPr>
                <w:rFonts w:ascii="Times New Roman" w:hAnsi="Times New Roman" w:cs="Times New Roman"/>
              </w:rPr>
            </w:pPr>
            <w:r w:rsidRPr="00454671">
              <w:rPr>
                <w:rFonts w:ascii="Times New Roman" w:hAnsi="Times New Roman" w:cs="Times New Roman"/>
              </w:rPr>
              <w:t>Присоединение к России, проведение выборов, инвестиции в инфраструктуру и здравоохранение</w:t>
            </w:r>
          </w:p>
        </w:tc>
      </w:tr>
    </w:tbl>
    <w:p w14:paraId="74DD89AA" w14:textId="77777777" w:rsidR="00523DF2" w:rsidRPr="00454671" w:rsidRDefault="00523DF2">
      <w:pPr>
        <w:rPr>
          <w:rFonts w:ascii="Times New Roman" w:hAnsi="Times New Roman" w:cs="Times New Roman"/>
        </w:rPr>
      </w:pPr>
    </w:p>
    <w:p w14:paraId="74C99F37" w14:textId="77777777" w:rsidR="00523DF2" w:rsidRPr="00454671" w:rsidRDefault="00523DF2">
      <w:pPr>
        <w:rPr>
          <w:rFonts w:ascii="Times New Roman" w:hAnsi="Times New Roman" w:cs="Times New Roman"/>
        </w:rPr>
      </w:pPr>
    </w:p>
    <w:p w14:paraId="75EDE66E" w14:textId="77777777" w:rsidR="00523DF2" w:rsidRPr="00DE2DA1" w:rsidRDefault="00DA4BEE" w:rsidP="00F61C6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2DA1">
        <w:rPr>
          <w:rFonts w:ascii="Times New Roman" w:hAnsi="Times New Roman" w:cs="Times New Roman"/>
          <w:sz w:val="28"/>
          <w:szCs w:val="28"/>
        </w:rPr>
        <w:t>Анализируя события прошлого и настоящего, можно сделать вывод, что оба периода имеют свои уникальные особенности. Хотя задачи и методы различны, конечная цель остается схожей — установление стабильности и защиты интересов населения. Современные технологии и политическая ситуация внесли существенные изменения в характер боевых действий, однако важность исторического опыта сохраняется и сегодня.</w:t>
      </w:r>
    </w:p>
    <w:p w14:paraId="42AE0811" w14:textId="03BD1F49" w:rsidR="00523DF2" w:rsidRPr="00454671" w:rsidRDefault="00523DF2" w:rsidP="00F61C6B">
      <w:pPr>
        <w:spacing w:line="276" w:lineRule="auto"/>
        <w:jc w:val="center"/>
        <w:rPr>
          <w:rFonts w:ascii="Times New Roman" w:hAnsi="Times New Roman" w:cs="Times New Roman"/>
        </w:rPr>
      </w:pPr>
    </w:p>
    <w:p w14:paraId="0965EE44" w14:textId="09FAB06C" w:rsidR="00454671" w:rsidRPr="00DE2DA1" w:rsidRDefault="00454671" w:rsidP="00F61C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DA1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714EC2BF" w14:textId="77777777" w:rsidR="00454671" w:rsidRPr="00DE2DA1" w:rsidRDefault="00454671" w:rsidP="00F61C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18442" w14:textId="4DD13759" w:rsidR="00587B36" w:rsidRPr="00587B36" w:rsidRDefault="00587B36" w:rsidP="00F61C6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36">
        <w:rPr>
          <w:rFonts w:ascii="Times New Roman" w:hAnsi="Times New Roman" w:cs="Times New Roman"/>
          <w:sz w:val="28"/>
          <w:szCs w:val="28"/>
        </w:rPr>
        <w:t xml:space="preserve">Бросок на Херсон. — </w:t>
      </w:r>
      <w:proofErr w:type="gramStart"/>
      <w:r w:rsidRPr="00587B3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87B36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587B36">
        <w:rPr>
          <w:rFonts w:ascii="Times New Roman" w:hAnsi="Times New Roman" w:cs="Times New Roman"/>
          <w:sz w:val="28"/>
          <w:szCs w:val="28"/>
        </w:rPr>
        <w:t>РуВИКИ</w:t>
      </w:r>
      <w:proofErr w:type="spellEnd"/>
      <w:r w:rsidRPr="00587B36">
        <w:rPr>
          <w:rFonts w:ascii="Times New Roman" w:hAnsi="Times New Roman" w:cs="Times New Roman"/>
          <w:sz w:val="28"/>
          <w:szCs w:val="28"/>
        </w:rPr>
        <w:t xml:space="preserve"> : [сайт]. — URL: https://ru.ruwiki.ru/wiki/Бросок_на_Херсон (дата обращения: 08.02.2026).</w:t>
      </w:r>
    </w:p>
    <w:p w14:paraId="29F086F0" w14:textId="2AB1D806" w:rsidR="00587B36" w:rsidRPr="00587B36" w:rsidRDefault="00587B36" w:rsidP="00F61C6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36">
        <w:rPr>
          <w:rFonts w:ascii="Times New Roman" w:hAnsi="Times New Roman" w:cs="Times New Roman"/>
          <w:sz w:val="28"/>
          <w:szCs w:val="28"/>
        </w:rPr>
        <w:t xml:space="preserve">День памяти Героя СССР Василия Филипповича Маргелова. — </w:t>
      </w:r>
      <w:proofErr w:type="gramStart"/>
      <w:r w:rsidRPr="00587B3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87B36">
        <w:rPr>
          <w:rFonts w:ascii="Times New Roman" w:hAnsi="Times New Roman" w:cs="Times New Roman"/>
          <w:sz w:val="28"/>
          <w:szCs w:val="28"/>
        </w:rPr>
        <w:t xml:space="preserve"> электронный // Губернатор Херсонской области : [сайт]. — URL: https://khogov.ru/news/den-pamyati-geroya-sssr-vasiliya-filippovicha-margelova/ (дата обращения: 09.02.2026).</w:t>
      </w:r>
    </w:p>
    <w:p w14:paraId="03B92B96" w14:textId="43959993" w:rsidR="00587B36" w:rsidRPr="00587B36" w:rsidRDefault="00587B36" w:rsidP="00F61C6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36">
        <w:rPr>
          <w:rFonts w:ascii="Times New Roman" w:hAnsi="Times New Roman" w:cs="Times New Roman"/>
          <w:sz w:val="28"/>
          <w:szCs w:val="28"/>
        </w:rPr>
        <w:t xml:space="preserve">История Херсона. — </w:t>
      </w:r>
      <w:proofErr w:type="gramStart"/>
      <w:r w:rsidRPr="00587B3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87B36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587B36">
        <w:rPr>
          <w:rFonts w:ascii="Times New Roman" w:hAnsi="Times New Roman" w:cs="Times New Roman"/>
          <w:sz w:val="28"/>
          <w:szCs w:val="28"/>
        </w:rPr>
        <w:t>РуВИКИ</w:t>
      </w:r>
      <w:proofErr w:type="spellEnd"/>
      <w:r w:rsidRPr="00587B36">
        <w:rPr>
          <w:rFonts w:ascii="Times New Roman" w:hAnsi="Times New Roman" w:cs="Times New Roman"/>
          <w:sz w:val="28"/>
          <w:szCs w:val="28"/>
        </w:rPr>
        <w:t xml:space="preserve"> : [сайт]. — URL: https://ru.ruwiki.ru/wiki/История_Херсона (дата обращения: 08.02.2026).</w:t>
      </w:r>
    </w:p>
    <w:p w14:paraId="33861903" w14:textId="08D97A3C" w:rsidR="00587B36" w:rsidRPr="00587B36" w:rsidRDefault="00587B36" w:rsidP="00F61C6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36">
        <w:rPr>
          <w:rFonts w:ascii="Times New Roman" w:hAnsi="Times New Roman" w:cs="Times New Roman"/>
          <w:sz w:val="28"/>
          <w:szCs w:val="28"/>
        </w:rPr>
        <w:t xml:space="preserve">Херсонская область. — </w:t>
      </w:r>
      <w:proofErr w:type="gramStart"/>
      <w:r w:rsidRPr="00587B3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87B36">
        <w:rPr>
          <w:rFonts w:ascii="Times New Roman" w:hAnsi="Times New Roman" w:cs="Times New Roman"/>
          <w:sz w:val="28"/>
          <w:szCs w:val="28"/>
        </w:rPr>
        <w:t xml:space="preserve"> электронный // Губернатор Херсонской области : [сайт]. — URL: https://khogov.ru/o-hersonskoj-oblasti/ (дата обращения: 09.02.2026).</w:t>
      </w:r>
    </w:p>
    <w:p w14:paraId="1A3304A0" w14:textId="23F6D35B" w:rsidR="00587B36" w:rsidRPr="00587B36" w:rsidRDefault="00587B36" w:rsidP="00F61C6B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B36">
        <w:rPr>
          <w:rFonts w:ascii="Times New Roman" w:hAnsi="Times New Roman" w:cs="Times New Roman"/>
          <w:sz w:val="28"/>
          <w:szCs w:val="28"/>
        </w:rPr>
        <w:t xml:space="preserve">81-я годовщина освобождения Херсона от немецко-фашистских захватчиков. — </w:t>
      </w:r>
      <w:proofErr w:type="gramStart"/>
      <w:r w:rsidRPr="00587B3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87B36">
        <w:rPr>
          <w:rFonts w:ascii="Times New Roman" w:hAnsi="Times New Roman" w:cs="Times New Roman"/>
          <w:sz w:val="28"/>
          <w:szCs w:val="28"/>
        </w:rPr>
        <w:t xml:space="preserve"> электронный // Губернатор Херсонской области : [сайт]. — URL: https://khogov.ru/news/81-ya-godovshhina-osvobozhdeniya-hersona-ot-nemeczko-fashistskih-zahvatchikov/ (дата обращения: 08.02.2026).</w:t>
      </w:r>
    </w:p>
    <w:p w14:paraId="1FCE08D4" w14:textId="77777777" w:rsidR="00587B36" w:rsidRDefault="00587B36" w:rsidP="00454671">
      <w:pPr>
        <w:rPr>
          <w:rFonts w:ascii="Times New Roman" w:hAnsi="Times New Roman" w:cs="Times New Roman"/>
          <w:sz w:val="28"/>
          <w:szCs w:val="28"/>
        </w:rPr>
      </w:pPr>
    </w:p>
    <w:sectPr w:rsidR="00587B3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B Sans Text, 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B5939"/>
    <w:multiLevelType w:val="hybridMultilevel"/>
    <w:tmpl w:val="662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F3C53"/>
    <w:multiLevelType w:val="hybridMultilevel"/>
    <w:tmpl w:val="EA9AD4BC"/>
    <w:lvl w:ilvl="0" w:tplc="B2A8474E">
      <w:start w:val="1"/>
      <w:numFmt w:val="bullet"/>
      <w:lvlText w:val="●"/>
      <w:lvlJc w:val="left"/>
      <w:pPr>
        <w:ind w:left="720" w:hanging="360"/>
      </w:pPr>
    </w:lvl>
    <w:lvl w:ilvl="1" w:tplc="F3B60ED8">
      <w:start w:val="1"/>
      <w:numFmt w:val="bullet"/>
      <w:lvlText w:val="○"/>
      <w:lvlJc w:val="left"/>
      <w:pPr>
        <w:ind w:left="1440" w:hanging="360"/>
      </w:pPr>
    </w:lvl>
    <w:lvl w:ilvl="2" w:tplc="FA9A932A">
      <w:start w:val="1"/>
      <w:numFmt w:val="bullet"/>
      <w:lvlText w:val="■"/>
      <w:lvlJc w:val="left"/>
      <w:pPr>
        <w:ind w:left="2160" w:hanging="360"/>
      </w:pPr>
    </w:lvl>
    <w:lvl w:ilvl="3" w:tplc="4EF0DDD4">
      <w:start w:val="1"/>
      <w:numFmt w:val="bullet"/>
      <w:lvlText w:val="●"/>
      <w:lvlJc w:val="left"/>
      <w:pPr>
        <w:ind w:left="2880" w:hanging="360"/>
      </w:pPr>
    </w:lvl>
    <w:lvl w:ilvl="4" w:tplc="A496B846">
      <w:start w:val="1"/>
      <w:numFmt w:val="bullet"/>
      <w:lvlText w:val="○"/>
      <w:lvlJc w:val="left"/>
      <w:pPr>
        <w:ind w:left="3600" w:hanging="360"/>
      </w:pPr>
    </w:lvl>
    <w:lvl w:ilvl="5" w:tplc="E556995A">
      <w:start w:val="1"/>
      <w:numFmt w:val="bullet"/>
      <w:lvlText w:val="■"/>
      <w:lvlJc w:val="left"/>
      <w:pPr>
        <w:ind w:left="4320" w:hanging="360"/>
      </w:pPr>
    </w:lvl>
    <w:lvl w:ilvl="6" w:tplc="B2C24FE4">
      <w:start w:val="1"/>
      <w:numFmt w:val="bullet"/>
      <w:lvlText w:val="●"/>
      <w:lvlJc w:val="left"/>
      <w:pPr>
        <w:ind w:left="5040" w:hanging="360"/>
      </w:pPr>
    </w:lvl>
    <w:lvl w:ilvl="7" w:tplc="33860A7A">
      <w:start w:val="1"/>
      <w:numFmt w:val="bullet"/>
      <w:lvlText w:val="●"/>
      <w:lvlJc w:val="left"/>
      <w:pPr>
        <w:ind w:left="5760" w:hanging="360"/>
      </w:pPr>
    </w:lvl>
    <w:lvl w:ilvl="8" w:tplc="533C980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81C5BC4"/>
    <w:multiLevelType w:val="multilevel"/>
    <w:tmpl w:val="39028786"/>
    <w:lvl w:ilvl="0">
      <w:start w:val="1"/>
      <w:numFmt w:val="decimal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83537C"/>
    <w:multiLevelType w:val="hybridMultilevel"/>
    <w:tmpl w:val="FB96761C"/>
    <w:lvl w:ilvl="0" w:tplc="778CA3E0">
      <w:start w:val="1"/>
      <w:numFmt w:val="none"/>
      <w:lvlText w:val=""/>
      <w:lvlJc w:val="left"/>
    </w:lvl>
    <w:lvl w:ilvl="1" w:tplc="5E9033C2">
      <w:start w:val="1"/>
      <w:numFmt w:val="none"/>
      <w:lvlText w:val=""/>
      <w:lvlJc w:val="left"/>
    </w:lvl>
    <w:lvl w:ilvl="2" w:tplc="FC2E25C4">
      <w:start w:val="1"/>
      <w:numFmt w:val="none"/>
      <w:lvlText w:val=""/>
      <w:lvlJc w:val="left"/>
    </w:lvl>
    <w:lvl w:ilvl="3" w:tplc="1D4C4CA6">
      <w:start w:val="1"/>
      <w:numFmt w:val="none"/>
      <w:lvlText w:val=""/>
      <w:lvlJc w:val="left"/>
    </w:lvl>
    <w:lvl w:ilvl="4" w:tplc="0420896A">
      <w:start w:val="1"/>
      <w:numFmt w:val="none"/>
      <w:lvlText w:val=""/>
      <w:lvlJc w:val="left"/>
    </w:lvl>
    <w:lvl w:ilvl="5" w:tplc="2B025A7C">
      <w:start w:val="1"/>
      <w:numFmt w:val="none"/>
      <w:lvlText w:val=""/>
      <w:lvlJc w:val="left"/>
    </w:lvl>
    <w:lvl w:ilvl="6" w:tplc="A2EE34EA">
      <w:start w:val="1"/>
      <w:numFmt w:val="none"/>
      <w:lvlText w:val=""/>
      <w:lvlJc w:val="left"/>
    </w:lvl>
    <w:lvl w:ilvl="7" w:tplc="43D23E7C">
      <w:numFmt w:val="decimal"/>
      <w:lvlText w:val=""/>
      <w:lvlJc w:val="left"/>
    </w:lvl>
    <w:lvl w:ilvl="8" w:tplc="A7DAF2F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F2"/>
    <w:rsid w:val="00454671"/>
    <w:rsid w:val="00523DF2"/>
    <w:rsid w:val="00587B36"/>
    <w:rsid w:val="006C1C42"/>
    <w:rsid w:val="009D7F54"/>
    <w:rsid w:val="00DA4BEE"/>
    <w:rsid w:val="00DE2DA1"/>
    <w:rsid w:val="00EF52D2"/>
    <w:rsid w:val="00F6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471"/>
  <w15:docId w15:val="{C6B92621-16A1-4686-9A20-3DCD4D0C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B Sans Text, Calibri" w:eastAsia="SB Sans Text, Calibri" w:hAnsi="SB Sans Text, Calibri" w:cs="SB Sans Text, 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Horizontalrowline">
    <w:name w:val="Horizontal row line"/>
  </w:style>
  <w:style w:type="paragraph" w:customStyle="1" w:styleId="Codeblock">
    <w:name w:val="Code block"/>
    <w:qFormat/>
    <w:pPr>
      <w:shd w:val="solid" w:color="000000" w:fill="FAFAFA"/>
      <w:ind w:left="360" w:right="360"/>
    </w:pPr>
  </w:style>
  <w:style w:type="paragraph" w:customStyle="1" w:styleId="Blockquote">
    <w:name w:val="Blockquote"/>
    <w:qFormat/>
  </w:style>
  <w:style w:type="character" w:customStyle="1" w:styleId="Inlinecodespan">
    <w:name w:val="Inline code span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Бондаренко</cp:lastModifiedBy>
  <cp:revision>9</cp:revision>
  <dcterms:created xsi:type="dcterms:W3CDTF">2026-02-09T02:08:00Z</dcterms:created>
  <dcterms:modified xsi:type="dcterms:W3CDTF">2026-02-09T02:53:00Z</dcterms:modified>
</cp:coreProperties>
</file>