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Ростовской области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«Красносулинская специальная школа-интернат № 1»</w:t>
      </w:r>
    </w:p>
    <w:p>
      <w:pPr>
        <w:pStyle w:val="Normal"/>
        <w:spacing w:lineRule="atLeast" w:line="100" w:before="0" w:after="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ind w:left="-1134" w:right="19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УТВЕРЖДАЮ</w:t>
      </w:r>
    </w:p>
    <w:p>
      <w:pPr>
        <w:pStyle w:val="Normal"/>
        <w:tabs>
          <w:tab w:val="clear" w:pos="708"/>
          <w:tab w:val="left" w:pos="7371" w:leader="none"/>
        </w:tabs>
        <w:spacing w:lineRule="auto" w:line="240" w:before="0" w:after="0"/>
        <w:ind w:right="25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Директор </w:t>
      </w:r>
    </w:p>
    <w:p>
      <w:pPr>
        <w:pStyle w:val="Normal"/>
        <w:tabs>
          <w:tab w:val="clear" w:pos="708"/>
          <w:tab w:val="left" w:pos="7230" w:leader="none"/>
          <w:tab w:val="right" w:pos="9498" w:leader="none"/>
        </w:tabs>
        <w:spacing w:before="0" w:after="0"/>
        <w:ind w:right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 Н.А. Маликова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 проведении межшкольного творческого конкурса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предметной области «Технология»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«В труде и дружбе наша сила»,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посвященного Году единства народов России.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Настоящее положение определяет порядок организации и проведения межшкольного творческого конкурса обучающихся специальных (коррекционных) образовательных учреждений (далее - конкурс), его организационное, методическое содержание, порядок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участия в конкурсе и выдачи наградных документов.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Общие положения</w:t>
      </w:r>
    </w:p>
    <w:p>
      <w:pPr>
        <w:pStyle w:val="ListParagraph"/>
        <w:spacing w:lineRule="auto" w:line="240" w:before="0" w:after="0"/>
        <w:ind w:left="420"/>
        <w:contextualSpacing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1.1. Межшкольный конкурс «В труде и дружбе наша сила» проводится как социально-    значимый проект ГКОУ РО Красносулинской школы-интерната № 1 в рамках методической недели учителей профессионально- трудового обучения.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510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1.2. Цели конкурса: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формирование предметных компетенций в области профессионально- трудового обучения;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всестороннее развитие личности обучающихся с нарушением интеллекта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старшего возраста в процессе формирования их трудовой культуры;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развитие творческого потенциала обучающихся;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>
          <w:rFonts w:ascii="Times New Roman" w:hAnsi="Times New Roman" w:eastAsia="Times New Roman" w:cs="Times New Roman"/>
          <w:color w:val="000000"/>
          <w:sz w:val="24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расширение сотрудничества между специальными общеобразовательными учреждениями для использования современных подходов в обучении и воспитании обучающихся.</w:t>
      </w:r>
    </w:p>
    <w:p>
      <w:pPr>
        <w:pStyle w:val="Normal"/>
        <w:shd w:val="clear" w:color="auto" w:fill="FFFFFF"/>
        <w:tabs>
          <w:tab w:val="clear" w:pos="708"/>
          <w:tab w:val="left" w:pos="1268" w:leader="none"/>
        </w:tabs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1.3. Задачи конкурса:</w:t>
      </w:r>
    </w:p>
    <w:p>
      <w:pPr>
        <w:pStyle w:val="ListParagraph"/>
        <w:shd w:val="clear" w:color="auto" w:fill="FFFFFF"/>
        <w:tabs>
          <w:tab w:val="clear" w:pos="708"/>
          <w:tab w:val="left" w:pos="1134" w:leader="none"/>
        </w:tabs>
        <w:spacing w:lineRule="auto" w:line="240" w:before="0" w:after="0"/>
        <w:ind w:left="1077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0"/>
        </w:rPr>
        <w:t>формировать практические умения по применению полученных знаний в области           профессионально- трудового обучения в ходе коллективной деятельности;</w:t>
      </w:r>
    </w:p>
    <w:p>
      <w:pPr>
        <w:pStyle w:val="ListParagraph"/>
        <w:shd w:val="clear" w:color="auto" w:fill="FFFFFF"/>
        <w:tabs>
          <w:tab w:val="clear" w:pos="708"/>
          <w:tab w:val="left" w:pos="1020" w:leader="none"/>
        </w:tabs>
        <w:spacing w:lineRule="auto" w:line="240" w:before="0" w:after="0"/>
        <w:ind w:left="1077"/>
        <w:contextualSpacing/>
        <w:rPr/>
      </w:pPr>
      <w:r>
        <w:rPr>
          <w:rFonts w:eastAsia="Times New Roman" w:cs="Times New Roman" w:ascii="Times New Roman" w:hAnsi="Times New Roman"/>
          <w:sz w:val="24"/>
          <w:szCs w:val="20"/>
        </w:rPr>
        <w:t>формировать у обучающихся устойчивый интерес к профессионально-   трудовому      обучению, понимание общественной значимости своего труда, своих достижений в области трудовой деятельности;</w:t>
      </w:r>
    </w:p>
    <w:p>
      <w:pPr>
        <w:pStyle w:val="ListParagraph"/>
        <w:shd w:val="clear" w:color="auto" w:fill="FFFFFF"/>
        <w:spacing w:lineRule="auto" w:line="240" w:before="0" w:after="0"/>
        <w:ind w:left="1020"/>
        <w:contextualSpacing/>
        <w:rPr/>
      </w:pPr>
      <w:r>
        <w:rPr>
          <w:rFonts w:eastAsia="Times New Roman" w:cs="Times New Roman" w:ascii="Times New Roman" w:hAnsi="Times New Roman"/>
          <w:sz w:val="24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0"/>
        </w:rPr>
        <w:t>развивать социальный опыт обучающихся посредством участия в командной   деятельности;</w:t>
      </w:r>
    </w:p>
    <w:p>
      <w:pPr>
        <w:pStyle w:val="ListParagraph"/>
        <w:shd w:val="clear" w:color="auto" w:fill="FFFFFF"/>
        <w:spacing w:lineRule="auto" w:line="240" w:before="0" w:after="0"/>
        <w:ind w:left="1020"/>
        <w:contextualSpacing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  <w:t>содействовать социальной адаптации и дальнейшей интеграции обучающихся в   общество.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eastAsia="Times New Roman" w:cs="Times New Roman" w:ascii="Times New Roman" w:hAnsi="Times New Roman"/>
          <w:sz w:val="24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Организаторы конкурса.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Организатором проведения конкурса является организационный комитет из числа педагогических работников и администрации ГКОУ РО Красносулинской школы - интерната № 1 (далее - организатор конкурса). 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Участники конкурса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426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Образовательное учреждение представляют обучающиеся 7-8 классов.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Место и </w:t>
      </w:r>
      <w:r>
        <w:rPr>
          <w:rFonts w:eastAsia="Times New Roman" w:cs="Times New Roman" w:ascii="Times New Roman" w:hAnsi="Times New Roman"/>
          <w:sz w:val="24"/>
          <w:szCs w:val="24"/>
        </w:rPr>
        <w:t>сроки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проведения конкурса.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426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Конкурс проводится дистанционно.</w:t>
      </w:r>
    </w:p>
    <w:p>
      <w:pPr>
        <w:pStyle w:val="Normal"/>
        <w:spacing w:lineRule="auto" w:line="240" w:before="0" w:after="0"/>
        <w:ind w:left="426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Организатор – ГКОУ РО Красносулинская школа — интернат № 1, г. Красный Сулин, пер. Фондовый д. 16.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Сроки проведения 30.01.2026 - 06.02.2026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Заявки заполняются и присылаются в электронном виде по форме (приложение 1) на электронную почту координатора конкурса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svetlana</w:t>
      </w:r>
      <w:r>
        <w:rPr>
          <w:rFonts w:eastAsia="Times New Roman" w:cs="Times New Roman" w:ascii="Times New Roman" w:hAnsi="Times New Roman"/>
          <w:sz w:val="24"/>
          <w:szCs w:val="24"/>
        </w:rPr>
        <w:t>.kozlova.2015@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ind w:left="3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Срок подачи заявки на участие в конкурсе до 29.01.2026.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5.  Конкурс 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Авторская поделка «В единстве сила».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Эскиз народного костюма «Узор дружбы народов».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Конкурс пословиц и поговорок «Народная мудрость».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I</w:t>
      </w:r>
      <w:r>
        <w:rPr>
          <w:rFonts w:eastAsia="Times New Roman" w:cs="Times New Roman" w:ascii="Times New Roman" w:hAnsi="Times New Roman"/>
          <w:sz w:val="24"/>
          <w:szCs w:val="24"/>
        </w:rPr>
        <w:t>. Номинация: Авторская поделка «В единстве сила».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В номинации представляется одна оригинальная поделка (композиция),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которая показывает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многообразие культур, обычаи, традиц</w:t>
      </w: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>ии, промыслы, праздники народов России.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>Использование формата и материалов для изготовления поделки не ограничены.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  <w:r>
        <w:rPr>
          <w:rFonts w:ascii="Times New Roman" w:hAnsi="Times New Roman"/>
          <w:color w:val="222222"/>
          <w:sz w:val="24"/>
          <w:szCs w:val="24"/>
        </w:rPr>
        <w:t>Работа выполняется одним обучающимся или группой обучающихся.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222222"/>
        </w:rPr>
        <w:t xml:space="preserve">       </w:t>
      </w:r>
      <w:r>
        <w:rPr>
          <w:rFonts w:ascii="Times New Roman" w:hAnsi="Times New Roman"/>
          <w:color w:val="222222"/>
          <w:sz w:val="24"/>
          <w:szCs w:val="24"/>
        </w:rPr>
        <w:t>Для оценивания изделия предоставляются фотоматериалы.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       </w:t>
      </w:r>
    </w:p>
    <w:tbl>
      <w:tblPr>
        <w:tblStyle w:val="af8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1"/>
        <w:gridCol w:w="6894"/>
        <w:gridCol w:w="2042"/>
      </w:tblGrid>
      <w:tr>
        <w:trPr/>
        <w:tc>
          <w:tcPr>
            <w:tcW w:w="81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9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Критерии оценки:</w:t>
            </w:r>
          </w:p>
        </w:tc>
        <w:tc>
          <w:tcPr>
            <w:tcW w:w="204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Баллы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Соответствие поделки теме конкурса. Полнота раскрытия темы.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Творческий подход к выполнению (неординарность, креативность)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Композиция и цветовое решение.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Оригинальность идеи сюжетной линии поделки.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Эстетичность, аккуратность выполнения.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9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Итого максимум: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 баллов</w:t>
            </w:r>
          </w:p>
        </w:tc>
      </w:tr>
    </w:tbl>
    <w:p>
      <w:pPr>
        <w:pStyle w:val="Normal"/>
        <w:spacing w:before="0" w:after="0"/>
        <w:ind w:left="284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en-US"/>
        </w:rPr>
        <w:t>II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. Номинация: Эскиз народного костюма «Узор дружбы народов».</w:t>
      </w:r>
    </w:p>
    <w:p>
      <w:pPr>
        <w:pStyle w:val="Normal"/>
        <w:spacing w:before="0" w:after="0"/>
        <w:ind w:left="284"/>
        <w:jc w:val="both"/>
        <w:rPr>
          <w:rFonts w:ascii="Times New Roman" w:hAnsi="Times New Roman" w:eastAsia="Times New Roman" w:cs="Times New Roman"/>
          <w:bCs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В номинации предоставляется цветной рисунок (эскиз), который отражает</w:t>
      </w: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 xml:space="preserve"> народные, национальные традиции и колорит народов России, создавая художественный образ с авторской манерой исполнения.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eastAsia="Times New Roman" w:cs="Times New Roman"/>
          <w:bCs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Обучающиеся (один или группа) предоставляют на конкурс одну работу на листе бумаги формата А4, содержание которого соответствует теме конкурса. Работа выполняется цветными карандашами, акварелью, фломастерами, гуашью в различной технике. Возможно использование элементов аппликации или другой оригинальной техники.</w:t>
      </w: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 xml:space="preserve">  К эскизу обязательно приложить описание, в котором указать какому народу принадлежит костюм, женский или мужской, его предназначение.</w:t>
      </w:r>
    </w:p>
    <w:p>
      <w:pPr>
        <w:pStyle w:val="ListParagraph"/>
        <w:spacing w:lineRule="auto" w:line="240" w:before="0" w:after="0"/>
        <w:ind w:left="284"/>
        <w:contextualSpacing/>
        <w:jc w:val="both"/>
        <w:rPr>
          <w:rFonts w:ascii="Times New Roman" w:hAnsi="Times New Roman" w:eastAsia="Times New Roman" w:cs="Times New Roman"/>
          <w:bCs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222222"/>
          <w:sz w:val="24"/>
          <w:szCs w:val="24"/>
        </w:rPr>
        <w:t>Для оценивания работы предоставить фотоматериалы и текстовый файл с описанием костюма.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tbl>
      <w:tblPr>
        <w:tblStyle w:val="af8"/>
        <w:tblW w:w="9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7"/>
        <w:gridCol w:w="6887"/>
        <w:gridCol w:w="2000"/>
      </w:tblGrid>
      <w:tr>
        <w:trPr/>
        <w:tc>
          <w:tcPr>
            <w:tcW w:w="817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8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Критерии оценки:</w:t>
            </w:r>
          </w:p>
        </w:tc>
        <w:tc>
          <w:tcPr>
            <w:tcW w:w="200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Баллы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688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Соответствие творческой работы требованиям конкурса (формат, материалы).</w:t>
            </w:r>
          </w:p>
        </w:tc>
        <w:tc>
          <w:tcPr>
            <w:tcW w:w="20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688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Полнота раскрытия темы (достоверность, соблюдение традиционной цветовой палитры и символики орнамента).</w:t>
            </w:r>
          </w:p>
        </w:tc>
        <w:tc>
          <w:tcPr>
            <w:tcW w:w="20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688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Творческий авторский подход к выполнению (неординарность, креативность).</w:t>
            </w:r>
          </w:p>
        </w:tc>
        <w:tc>
          <w:tcPr>
            <w:tcW w:w="20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688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Степень эмоционального воздействия на аудиторию.</w:t>
            </w:r>
          </w:p>
        </w:tc>
        <w:tc>
          <w:tcPr>
            <w:tcW w:w="20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6887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Эстетичность, аккуратность исполнения.</w:t>
            </w:r>
          </w:p>
        </w:tc>
        <w:tc>
          <w:tcPr>
            <w:tcW w:w="2000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87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Итого максимум:</w:t>
            </w:r>
          </w:p>
        </w:tc>
        <w:tc>
          <w:tcPr>
            <w:tcW w:w="2000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hd w:val="clear" w:color="auto" w:fill="FFFFFF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баллов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en-US"/>
        </w:rPr>
        <w:t>III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. Номинация: Конкурс пословиц «Народная мудрость».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 xml:space="preserve">В номинации участникам предлагаются пословицы народов России. Участники подбирают подходящие к ним по смыслу русские народные пословицы. а также кратко раскрывают смысл (народную мудрость) этой пословицы (одно предложение).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Ответы фиксируются в таблице (приложение 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Предлагаемые пословицы и поговорки: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1. «Пока не взболтаешь молока, не получишь сливочного масла» (Чувашская народная пословица).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2. «Дружно за дело взяться- и пустыня зацветёт» (Таджикская народная пословица).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3. «Хорошая работа-душе отдых» (Казахская народная пословица).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4. «Трудовая рука не просит куска» (Армянская народная пословица).</w:t>
      </w:r>
    </w:p>
    <w:p>
      <w:pPr>
        <w:pStyle w:val="ListParagraph"/>
        <w:spacing w:lineRule="auto" w:line="240" w:before="0" w:after="0"/>
        <w:ind w:left="426"/>
        <w:contextualSpacing/>
        <w:jc w:val="both"/>
        <w:rPr>
          <w:rFonts w:ascii="Times New Roman" w:hAnsi="Times New Roman" w:eastAsia="Times New Roman" w:cs="Times New Roman"/>
          <w:b/>
          <w:bCs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222222"/>
          <w:sz w:val="24"/>
          <w:szCs w:val="24"/>
        </w:rPr>
      </w:r>
    </w:p>
    <w:tbl>
      <w:tblPr>
        <w:tblStyle w:val="af8"/>
        <w:tblpPr w:vertAnchor="text" w:horzAnchor="margin" w:leftFromText="180" w:rightFromText="180" w:tblpX="0" w:tblpY="114"/>
        <w:tblW w:w="974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1"/>
        <w:gridCol w:w="6894"/>
        <w:gridCol w:w="2042"/>
      </w:tblGrid>
      <w:tr>
        <w:trPr/>
        <w:tc>
          <w:tcPr>
            <w:tcW w:w="811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9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Критерии оценки:</w:t>
            </w:r>
          </w:p>
        </w:tc>
        <w:tc>
          <w:tcPr>
            <w:tcW w:w="204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Баллы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Смысловое соответствие пословицы и поговорки оригиналу.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Точность в определении смысла пословицы или поговорки.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6894" w:type="dxa"/>
            <w:tcBorders/>
            <w:vAlign w:val="center"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bCs/>
                <w:kern w:val="0"/>
                <w:lang w:val="ru-RU" w:bidi="ar-SA"/>
              </w:rPr>
              <w:t>Творческий подход к выполнению (оригинальность. креативность)</w:t>
            </w:r>
          </w:p>
        </w:tc>
        <w:tc>
          <w:tcPr>
            <w:tcW w:w="2042" w:type="dxa"/>
            <w:tcBorders/>
            <w:vAlign w:val="center"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 1 до 5 баллов</w:t>
            </w:r>
          </w:p>
        </w:tc>
      </w:tr>
      <w:tr>
        <w:trPr>
          <w:trHeight w:val="454" w:hRule="atLeast"/>
        </w:trPr>
        <w:tc>
          <w:tcPr>
            <w:tcW w:w="8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6894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ind w:left="3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Итого максимум:</w:t>
            </w:r>
          </w:p>
        </w:tc>
        <w:tc>
          <w:tcPr>
            <w:tcW w:w="2042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 баллов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6. Подведение итогов конкурса.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Подведение итогов конкурса предполагает объявление результатов и рассылку наградных материалов в электронном виде победителям и участникам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 Методическое обеспечение проведения конкурса.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7.1. Методическое обеспечение проведения конкурса осуществляет предметно-методическая комиссия  из числа квалифицированных педагогических работников ГКОУ РО Красносулинской школы - интерната № 1.</w:t>
      </w:r>
    </w:p>
    <w:p>
      <w:pPr>
        <w:pStyle w:val="Normal"/>
        <w:spacing w:lineRule="auto" w:line="240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7.2.   Предметно-методическая комиссия конкурса:</w:t>
      </w:r>
    </w:p>
    <w:p>
      <w:pPr>
        <w:pStyle w:val="Normal"/>
        <w:spacing w:lineRule="auto" w:line="240" w:before="0" w:after="0"/>
        <w:ind w:left="79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устанавливает форму, место, сроки проведения и требования к техническому обеспечению;</w:t>
      </w:r>
    </w:p>
    <w:p>
      <w:pPr>
        <w:pStyle w:val="Normal"/>
        <w:spacing w:lineRule="auto" w:line="240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</w:rPr>
        <w:t>разрабатывает рекомендации к созданию материалов, критерии оценки;</w:t>
      </w:r>
    </w:p>
    <w:p>
      <w:pPr>
        <w:pStyle w:val="Normal"/>
        <w:spacing w:lineRule="auto" w:line="240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</w:t>
      </w:r>
      <w:r>
        <w:rPr>
          <w:rFonts w:eastAsia="Times New Roman" w:cs="Times New Roman" w:ascii="Times New Roman" w:hAnsi="Times New Roman"/>
          <w:sz w:val="24"/>
          <w:szCs w:val="24"/>
        </w:rPr>
        <w:t>осуществляет рассылку наградных документов.</w:t>
      </w:r>
    </w:p>
    <w:p>
      <w:pPr>
        <w:pStyle w:val="Normal"/>
        <w:spacing w:lineRule="auto" w:line="240" w:before="0" w:after="0"/>
        <w:ind w:left="284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7.3. Проверку выполненных заданий конкурса осуществляют жюри из числа педагогов учреждений - участников конкурса.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7.4. Каждое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учреждение – участник конкурса размещает свои работы 06.02.2026 до 15.00 в электронном виде на облачном хранилище по ссылке: </w:t>
      </w:r>
      <w:hyperlink r:id="rId2">
        <w:r>
          <w:rPr>
            <w:rStyle w:val="Hyperlink"/>
            <w:rFonts w:eastAsia="Times New Roman" w:cs="Times New Roman" w:ascii="Times New Roman" w:hAnsi="Times New Roman"/>
            <w:bCs/>
            <w:sz w:val="24"/>
            <w:szCs w:val="24"/>
          </w:rPr>
          <w:t>https://cloud.mail.ru/public/f6ZK/q1gy5zLSe</w:t>
        </w:r>
      </w:hyperlink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7.5. Оценочные листы (приложение 3) с оценками жюри каждое учреждение – участник присылает на электронную почту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Svetlana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kozlova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.2015@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до 10.02.2026 для подведения итогов.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7.6. Победители и призеры в каждой номинации конкурса определяются на основании результатов участников соответствующих номинаций, которые заносятся в итоговую таблицу.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7.7. Образцы дипломов победителей и призеров каждого этапа утверждаются организаторами конкурса.</w:t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участия в межшкольном творческом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«В труде и дружбе наша сила»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Style w:val="af8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239"/>
        <w:gridCol w:w="1901"/>
        <w:gridCol w:w="2022"/>
        <w:gridCol w:w="1878"/>
      </w:tblGrid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Название образовательной организации</w:t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Номинация</w:t>
            </w:r>
          </w:p>
        </w:tc>
        <w:tc>
          <w:tcPr>
            <w:tcW w:w="2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ФИ участника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(автора),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класс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ФИО педагога- наставника</w:t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2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9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0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jc w:val="right"/>
        <w:rPr/>
      </w:pPr>
      <w:r>
        <w:rPr>
          <w:rFonts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  <w:t>Конкурс пословиц и поговорок «Народная мудрость».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</w:rPr>
      </w:r>
    </w:p>
    <w:tbl>
      <w:tblPr>
        <w:tblStyle w:val="af8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3108"/>
        <w:gridCol w:w="2977"/>
        <w:gridCol w:w="2955"/>
      </w:tblGrid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Предлагаемые пословицы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Соответствующая русская народная пословица</w:t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Краткий смысл (народная мудрость) пословицы</w:t>
            </w:r>
          </w:p>
        </w:tc>
      </w:tr>
      <w:tr>
        <w:trPr>
          <w:trHeight w:val="182" w:hRule="atLeast"/>
        </w:trPr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>«Пока не взболтаешь молока, не получишь сливочного масла» (Чувашская народная пословица).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>«Дружно за дело взяться- и пустыня зацветёт» (Таджикская народная пословица).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1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>«Хорошая работа-душе отдых» (Казахская народная пословица).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5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81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1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222222"/>
                <w:kern w:val="0"/>
                <w:sz w:val="24"/>
                <w:szCs w:val="24"/>
                <w:lang w:val="ru-RU" w:bidi="ar-SA"/>
              </w:rPr>
              <w:t>«Трудовая рука не просит куска» (Армянская народная пословица).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426"/>
              <w:contextualSpacing/>
              <w:jc w:val="left"/>
              <w:rPr>
                <w:rFonts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cs="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95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Autospacing="1" w:afterAutospacing="1"/>
        <w:ind w:right="113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3</w:t>
      </w:r>
    </w:p>
    <w:p>
      <w:pPr>
        <w:pStyle w:val="Normal"/>
        <w:spacing w:lineRule="auto" w:line="240" w:beforeAutospacing="1" w:afterAutospacing="1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Оценочная таблица</w:t>
      </w:r>
    </w:p>
    <w:tbl>
      <w:tblPr>
        <w:tblStyle w:val="af8"/>
        <w:tblW w:w="9915" w:type="dxa"/>
        <w:jc w:val="left"/>
        <w:tblInd w:w="-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25"/>
        <w:gridCol w:w="2370"/>
        <w:gridCol w:w="2593"/>
        <w:gridCol w:w="2327"/>
      </w:tblGrid>
      <w:tr>
        <w:trPr>
          <w:trHeight w:val="432" w:hRule="atLeast"/>
        </w:trPr>
        <w:tc>
          <w:tcPr>
            <w:tcW w:w="262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Название образовательной организации</w:t>
            </w:r>
          </w:p>
        </w:tc>
        <w:tc>
          <w:tcPr>
            <w:tcW w:w="7290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Номинации</w:t>
            </w:r>
          </w:p>
        </w:tc>
      </w:tr>
      <w:tr>
        <w:trPr>
          <w:trHeight w:val="842" w:hRule="atLeast"/>
        </w:trPr>
        <w:tc>
          <w:tcPr>
            <w:tcW w:w="262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Авторская поделка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«В единстве сила»</w:t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222222"/>
                <w:kern w:val="0"/>
                <w:sz w:val="24"/>
                <w:szCs w:val="24"/>
                <w:lang w:val="ru-RU" w:bidi="ar-SA"/>
              </w:rPr>
              <w:t>Эскиз народного костюма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222222"/>
                <w:kern w:val="0"/>
                <w:sz w:val="24"/>
                <w:szCs w:val="24"/>
                <w:lang w:val="ru-RU" w:bidi="ar-SA"/>
              </w:rPr>
              <w:t>«Узор дружбы народов»</w:t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222222"/>
                <w:kern w:val="0"/>
                <w:sz w:val="24"/>
                <w:szCs w:val="24"/>
                <w:lang w:val="ru-RU" w:bidi="ar-SA"/>
              </w:rPr>
              <w:t>Конкурс пословиц и поговорок «Народная мудрость»</w:t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>
          <w:trHeight w:val="454" w:hRule="atLeast"/>
        </w:trPr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7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59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232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По всем вопросам обращаться к координатору олимпиады: эл. почта  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svetlana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kozlova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.2015@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mail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или по телефону: 8-904-34-93-567 (Козлова Светлана Николаевна)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788" w:right="567" w:gutter="0" w:header="0" w:top="56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6967832"/>
    </w:sdtPr>
    <w:sdtContent>
      <w:p>
        <w:pPr>
          <w:pStyle w:val="Footer"/>
          <w:jc w:val="right"/>
          <w:rPr/>
        </w:pPr>
        <w:r>
          <w:rPr>
            <w:rFonts w:cs="Times New Roman" w:ascii="Times New Roman" w:hAnsi="Times New Roman"/>
            <w:sz w:val="20"/>
          </w:rPr>
          <w:fldChar w:fldCharType="begin"/>
        </w:r>
        <w:r>
          <w:rPr>
            <w:sz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rFonts w:cs="Times New Roman" w:ascii="Times New Roman" w:hAnsi="Times New Roman"/>
          </w:rPr>
          <w:fldChar w:fldCharType="separate"/>
        </w:r>
        <w:r>
          <w:rPr>
            <w:sz w:val="20"/>
            <w:rFonts w:cs="Times New Roman" w:ascii="Times New Roman" w:hAnsi="Times New Roman"/>
          </w:rPr>
          <w:t>6</w:t>
        </w:r>
        <w:r>
          <w:rPr>
            <w:sz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6967832"/>
    </w:sdtPr>
    <w:sdtContent>
      <w:p>
        <w:pPr>
          <w:pStyle w:val="Footer"/>
          <w:jc w:val="right"/>
          <w:rPr/>
        </w:pPr>
        <w:r>
          <w:rPr>
            <w:rFonts w:cs="Times New Roman" w:ascii="Times New Roman" w:hAnsi="Times New Roman"/>
            <w:sz w:val="20"/>
          </w:rPr>
          <w:fldChar w:fldCharType="begin"/>
        </w:r>
        <w:r>
          <w:rPr>
            <w:sz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rFonts w:cs="Times New Roman" w:ascii="Times New Roman" w:hAnsi="Times New Roman"/>
          </w:rPr>
          <w:fldChar w:fldCharType="separate"/>
        </w:r>
        <w:r>
          <w:rPr>
            <w:sz w:val="20"/>
            <w:rFonts w:cs="Times New Roman" w:ascii="Times New Roman" w:hAnsi="Times New Roman"/>
          </w:rPr>
          <w:t>6</w:t>
        </w:r>
        <w:r>
          <w:rPr>
            <w:sz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  <w:rFonts w:ascii="Times New Roman" w:hAnsi="Times New Roman" w:cs="Times New Roman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86" w:hanging="360"/>
      </w:pPr>
      <w:rPr>
        <w:b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28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452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036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26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844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068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652" w:hanging="1800"/>
      </w:pPr>
      <w:rPr/>
    </w:lvl>
  </w:abstractNum>
  <w:abstractNum w:abstractNumId="3">
    <w:lvl w:ilvl="0">
      <w:start w:val="25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146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08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9089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786e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c5" w:customStyle="1">
    <w:name w:val="c5"/>
    <w:basedOn w:val="DefaultParagraphFont"/>
    <w:qFormat/>
    <w:rsid w:val="004e5790"/>
    <w:rPr/>
  </w:style>
  <w:style w:type="character" w:styleId="c7" w:customStyle="1">
    <w:name w:val="c7"/>
    <w:basedOn w:val="DefaultParagraphFont"/>
    <w:qFormat/>
    <w:rsid w:val="004e5790"/>
    <w:rPr/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3c5b08"/>
    <w:rPr>
      <w:rFonts w:eastAsia="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c5b08"/>
    <w:rPr>
      <w:rFonts w:eastAsia="" w:eastAsiaTheme="minorEastAsia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52f79"/>
    <w:rPr>
      <w:color w:themeColor="followedHyperlink"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55162"/>
    <w:rPr>
      <w:color w:val="605E5C"/>
      <w:shd w:fill="E1DFDD" w:val="clear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 w:customStyle="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90898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78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1" w:customStyle="1">
    <w:name w:val="c1"/>
    <w:basedOn w:val="Normal"/>
    <w:qFormat/>
    <w:rsid w:val="004e579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90e8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user" w:customStyle="1">
    <w:name w:val="Колонтитулы (user)"/>
    <w:basedOn w:val="Normal"/>
    <w:qFormat/>
    <w:pPr/>
    <w:rPr/>
  </w:style>
  <w:style w:type="paragraph" w:styleId="Style19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3c5b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3c5b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user1" w:customStyle="1">
    <w:name w:val="Содержимое врезки (user)"/>
    <w:basedOn w:val="Normal"/>
    <w:qFormat/>
    <w:pPr/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paragraph" w:styleId="Style20" w:customStyle="1">
    <w:name w:val="Содержимое врезки"/>
    <w:basedOn w:val="Normal"/>
    <w:qFormat/>
    <w:pPr/>
    <w:rPr/>
  </w:style>
  <w:style w:type="numbering" w:styleId="Style21" w:customStyle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b908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public/f6ZK/q1gy5zLSe" TargetMode="External"/><Relationship Id="rId3" Type="http://schemas.openxmlformats.org/officeDocument/2006/relationships/hyperlink" Target="mailto:Svetlana.kozlova.2015@mail.ru" TargetMode="External"/><Relationship Id="rId4" Type="http://schemas.openxmlformats.org/officeDocument/2006/relationships/hyperlink" Target="mailto:svetlana.kozlova.2015@mail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2826-85D4-4A17-9949-06AA73B8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LibreOffice/25.8.3.2$Windows_X86_64 LibreOffice_project/8ca8d55c161d602844f5428fa4b58097424e324e</Application>
  <AppVersion>15.0000</AppVersion>
  <Pages>6</Pages>
  <Words>1003</Words>
  <Characters>7178</Characters>
  <CharactersWithSpaces>8241</CharactersWithSpaces>
  <Paragraphs>159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2023-02-15T06:42:00Z</dcterms:created>
  <dc:creator>User</dc:creator>
  <dc:description/>
  <dc:language>ru-RU</dc:language>
  <cp:lastModifiedBy/>
  <cp:lastPrinted>2026-01-27T15:14:44Z</cp:lastPrinted>
  <dcterms:modified xsi:type="dcterms:W3CDTF">2026-01-27T15:15:31Z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