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E3" w:rsidRPr="00CE6A16" w:rsidRDefault="00ED5CE3">
      <w:pPr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proofErr w:type="spellStart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Смульская</w:t>
      </w:r>
      <w:proofErr w:type="spellEnd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А.И.</w:t>
      </w:r>
    </w:p>
    <w:p w:rsidR="00A67A4F" w:rsidRPr="00CE6A16" w:rsidRDefault="000E50A3">
      <w:pPr>
        <w:rPr>
          <w:rFonts w:ascii="Times" w:hAnsi="Times" w:cs="Times"/>
          <w:b/>
          <w:color w:val="0F243E" w:themeColor="text2" w:themeShade="80"/>
          <w:sz w:val="32"/>
          <w:szCs w:val="32"/>
          <w:shd w:val="clear" w:color="auto" w:fill="FFFFFF"/>
        </w:rPr>
      </w:pPr>
      <w:r w:rsidRPr="00CE6A16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shd w:val="clear" w:color="auto" w:fill="FFFFFF"/>
        </w:rPr>
        <w:t xml:space="preserve">     </w:t>
      </w:r>
      <w:r w:rsidR="00ED5CE3" w:rsidRPr="00CE6A16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shd w:val="clear" w:color="auto" w:fill="FFFFFF"/>
        </w:rPr>
        <w:t>О методах, приёмах и ресурсах подготовки к ЕРЭ, ОГЭ</w:t>
      </w:r>
      <w:r w:rsidR="00ED5CE3" w:rsidRPr="00CE6A16">
        <w:rPr>
          <w:rFonts w:ascii="Times" w:hAnsi="Times" w:cs="Times"/>
          <w:b/>
          <w:color w:val="0F243E" w:themeColor="text2" w:themeShade="80"/>
          <w:sz w:val="32"/>
          <w:szCs w:val="32"/>
          <w:shd w:val="clear" w:color="auto" w:fill="FFFFFF"/>
        </w:rPr>
        <w:t xml:space="preserve"> </w:t>
      </w:r>
    </w:p>
    <w:p w:rsidR="00241742" w:rsidRPr="00CE6A16" w:rsidRDefault="00241742">
      <w:pPr>
        <w:rPr>
          <w:rFonts w:ascii="Times" w:hAnsi="Times" w:cs="Times"/>
          <w:b/>
          <w:color w:val="0F243E" w:themeColor="text2" w:themeShade="80"/>
          <w:sz w:val="32"/>
          <w:szCs w:val="32"/>
          <w:shd w:val="clear" w:color="auto" w:fill="FFFFFF"/>
        </w:rPr>
      </w:pPr>
      <w:r w:rsidRPr="00CE6A16">
        <w:rPr>
          <w:rFonts w:ascii="Times" w:hAnsi="Times" w:cs="Times"/>
          <w:color w:val="0F243E" w:themeColor="text2" w:themeShade="80"/>
          <w:sz w:val="32"/>
          <w:szCs w:val="32"/>
          <w:shd w:val="clear" w:color="auto" w:fill="FFFFFF"/>
        </w:rPr>
        <w:t xml:space="preserve">        (</w:t>
      </w: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требования – проблемы – средства, пути решения – практика)</w:t>
      </w:r>
    </w:p>
    <w:p w:rsidR="00241742" w:rsidRPr="00CE6A16" w:rsidRDefault="000E50A3" w:rsidP="000E50A3">
      <w:pPr>
        <w:widowControl w:val="0"/>
        <w:autoSpaceDE w:val="0"/>
        <w:autoSpaceDN w:val="0"/>
        <w:spacing w:after="0"/>
        <w:ind w:right="813"/>
        <w:jc w:val="both"/>
        <w:rPr>
          <w:rFonts w:ascii="Times" w:hAnsi="Times" w:cs="Times"/>
          <w:color w:val="0F243E" w:themeColor="text2" w:themeShade="80"/>
          <w:sz w:val="28"/>
          <w:szCs w:val="28"/>
          <w:shd w:val="clear" w:color="auto" w:fill="FFFFFF"/>
        </w:rPr>
      </w:pPr>
      <w:r w:rsidRPr="00CE6A16">
        <w:rPr>
          <w:rFonts w:ascii="Times" w:hAnsi="Times" w:cs="Times"/>
          <w:color w:val="0F243E" w:themeColor="text2" w:themeShade="80"/>
          <w:sz w:val="28"/>
          <w:szCs w:val="28"/>
          <w:shd w:val="clear" w:color="auto" w:fill="FFFFFF"/>
        </w:rPr>
        <w:t xml:space="preserve">        </w:t>
      </w:r>
    </w:p>
    <w:p w:rsidR="00ED5CE3" w:rsidRPr="00CE6A16" w:rsidRDefault="000E50A3" w:rsidP="000E50A3">
      <w:pPr>
        <w:widowControl w:val="0"/>
        <w:autoSpaceDE w:val="0"/>
        <w:autoSpaceDN w:val="0"/>
        <w:spacing w:after="0"/>
        <w:ind w:right="813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" w:hAnsi="Times" w:cs="Times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ED5CE3"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Особенности подхода к целям, структуре и содержанию ГИА в форме ЕРЭ и ОГЭ во многом определяют и особенности подготовки к нему всех участников образовательного процесса. Следствием этого является необходимость адаптации выпускников к новым требованиям, прежде всего к форме и методики оценивания качества знаний, многообразию типов экзаменационных заданий, мобильности </w:t>
      </w:r>
      <w:r w:rsidR="00241742"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ED5CE3"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их выполнения.</w:t>
      </w:r>
    </w:p>
    <w:p w:rsidR="00ED5CE3" w:rsidRPr="00CE6A16" w:rsidRDefault="00ED5CE3" w:rsidP="00EE530E">
      <w:pPr>
        <w:widowControl w:val="0"/>
        <w:autoSpaceDE w:val="0"/>
        <w:autoSpaceDN w:val="0"/>
        <w:spacing w:after="0"/>
        <w:ind w:left="232" w:right="812" w:firstLine="566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ГИА обучающихся играет огромную роль для образовательной организации.</w:t>
      </w:r>
      <w:proofErr w:type="gramEnd"/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Она позволяет не только унифицировать саму аттестацию, но и дает возможность педагогическому коллективу в целом подвести итог своей деятельности, глубоко проверить знания и умения обучающихся, обнаружить пробелы в преподавании</w:t>
      </w:r>
      <w:r w:rsidRPr="00CE6A16">
        <w:rPr>
          <w:rFonts w:ascii="Times New Roman" w:eastAsia="Times New Roman" w:hAnsi="Times New Roman" w:cs="Times New Roman"/>
          <w:color w:val="0F243E" w:themeColor="text2" w:themeShade="80"/>
          <w:spacing w:val="40"/>
          <w:sz w:val="28"/>
          <w:szCs w:val="28"/>
        </w:rPr>
        <w:t xml:space="preserve"> </w:t>
      </w: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предметов, достижения и недостатки всего учебно-воспитательного </w:t>
      </w:r>
      <w:r w:rsidRPr="00CE6A16">
        <w:rPr>
          <w:rFonts w:ascii="Times New Roman" w:eastAsia="Times New Roman" w:hAnsi="Times New Roman" w:cs="Times New Roman"/>
          <w:color w:val="0F243E" w:themeColor="text2" w:themeShade="80"/>
          <w:spacing w:val="-2"/>
          <w:sz w:val="28"/>
          <w:szCs w:val="28"/>
        </w:rPr>
        <w:t>процесса.</w:t>
      </w:r>
    </w:p>
    <w:p w:rsidR="00ED5CE3" w:rsidRPr="00CE6A16" w:rsidRDefault="00ED5CE3" w:rsidP="00EE530E">
      <w:pPr>
        <w:widowControl w:val="0"/>
        <w:autoSpaceDE w:val="0"/>
        <w:autoSpaceDN w:val="0"/>
        <w:spacing w:after="0"/>
        <w:ind w:left="232" w:right="812" w:firstLine="566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ГИА – серьезный шаг в жизни каждого выпускника, требующий обобщения знаний по предметам, и умения организовать свою работу. ГИА сегодня – объективная реальность, с которой необходимо считаться. Подготовка к ГИА – очень сложный процесс, в котором многое зависит от учителя и методики преподавания. Создание условий для успешной сдачи экзаменов – одна из важнейших задач педагогического коллектива образовательной </w:t>
      </w:r>
      <w:r w:rsidRPr="00CE6A16">
        <w:rPr>
          <w:rFonts w:ascii="Times New Roman" w:eastAsia="Times New Roman" w:hAnsi="Times New Roman" w:cs="Times New Roman"/>
          <w:color w:val="0F243E" w:themeColor="text2" w:themeShade="80"/>
          <w:spacing w:val="-2"/>
          <w:sz w:val="28"/>
          <w:szCs w:val="28"/>
        </w:rPr>
        <w:t>организации.</w:t>
      </w:r>
    </w:p>
    <w:p w:rsidR="00EE530E" w:rsidRPr="00CE6A16" w:rsidRDefault="00EE530E" w:rsidP="00EE530E">
      <w:pPr>
        <w:pStyle w:val="a4"/>
        <w:ind w:right="246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готовности обучающихся к прохождению экзаменов в форме ГИА учитель - предметник отвечает за предметную составляющую, а  именно за выработку умений и навыков для успешного выполнения контрольно-комплексных заданий. </w:t>
      </w:r>
    </w:p>
    <w:p w:rsidR="000B3F65" w:rsidRPr="00CE6A16" w:rsidRDefault="00F30AE3" w:rsidP="000B3F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Подготовка к ГИА включает в себя для учителя математики </w:t>
      </w:r>
      <w:r w:rsidR="000B3F65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несколько </w:t>
      </w:r>
    </w:p>
    <w:p w:rsidR="00D23F41" w:rsidRPr="00CE6A16" w:rsidRDefault="00D23F41" w:rsidP="000B3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этапов:</w:t>
      </w:r>
    </w:p>
    <w:p w:rsidR="00F30AE3" w:rsidRPr="00CE6A16" w:rsidRDefault="00F30AE3" w:rsidP="00D23F41">
      <w:pPr>
        <w:pStyle w:val="a4"/>
        <w:numPr>
          <w:ilvl w:val="0"/>
          <w:numId w:val="1"/>
        </w:numPr>
        <w:ind w:right="24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организационный</w:t>
      </w:r>
    </w:p>
    <w:p w:rsidR="00F30AE3" w:rsidRPr="00CE6A16" w:rsidRDefault="00F30AE3" w:rsidP="00F30AE3">
      <w:pPr>
        <w:pStyle w:val="a4"/>
        <w:numPr>
          <w:ilvl w:val="0"/>
          <w:numId w:val="1"/>
        </w:numPr>
        <w:ind w:right="24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информационный</w:t>
      </w:r>
    </w:p>
    <w:p w:rsidR="00F30AE3" w:rsidRPr="00CE6A16" w:rsidRDefault="00F30AE3" w:rsidP="00F30AE3">
      <w:pPr>
        <w:pStyle w:val="a4"/>
        <w:numPr>
          <w:ilvl w:val="0"/>
          <w:numId w:val="1"/>
        </w:numPr>
        <w:ind w:right="24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практический</w:t>
      </w:r>
    </w:p>
    <w:p w:rsidR="00F30AE3" w:rsidRPr="00CE6A16" w:rsidRDefault="00F30AE3" w:rsidP="00F30AE3">
      <w:pPr>
        <w:pStyle w:val="a4"/>
        <w:numPr>
          <w:ilvl w:val="0"/>
          <w:numId w:val="1"/>
        </w:numPr>
        <w:ind w:right="24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психологический</w:t>
      </w:r>
    </w:p>
    <w:p w:rsidR="00F30AE3" w:rsidRPr="00CE6A16" w:rsidRDefault="00F30AE3" w:rsidP="00F30AE3">
      <w:pPr>
        <w:pStyle w:val="a4"/>
        <w:numPr>
          <w:ilvl w:val="0"/>
          <w:numId w:val="1"/>
        </w:numPr>
        <w:ind w:right="24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аналитический</w:t>
      </w:r>
    </w:p>
    <w:p w:rsidR="00EE530E" w:rsidRPr="00CE6A16" w:rsidRDefault="00EE530E" w:rsidP="00EE530E">
      <w:pPr>
        <w:pStyle w:val="a4"/>
        <w:jc w:val="both"/>
        <w:rPr>
          <w:color w:val="0F243E" w:themeColor="text2" w:themeShade="80"/>
          <w:sz w:val="20"/>
        </w:rPr>
      </w:pPr>
    </w:p>
    <w:p w:rsidR="00F30AE3" w:rsidRPr="00CE6A16" w:rsidRDefault="00F30AE3" w:rsidP="00F30AE3">
      <w:pPr>
        <w:pStyle w:val="a4"/>
        <w:spacing w:before="236"/>
        <w:ind w:left="232" w:right="812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Системн</w:t>
      </w:r>
      <w:proofErr w:type="gramStart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о-</w:t>
      </w:r>
      <w:proofErr w:type="gramEnd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деятельностный</w:t>
      </w:r>
      <w:proofErr w:type="spellEnd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подход всех участников образовательных отношений станет основанием для достижения поставленной задачи.</w:t>
      </w:r>
    </w:p>
    <w:p w:rsidR="00F30AE3" w:rsidRPr="00CE6A16" w:rsidRDefault="00F30AE3" w:rsidP="00F30AE3">
      <w:pPr>
        <w:pStyle w:val="a4"/>
        <w:spacing w:before="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Что</w:t>
      </w:r>
      <w:r w:rsidRPr="00CE6A16">
        <w:rPr>
          <w:rFonts w:ascii="Times New Roman" w:hAnsi="Times New Roman" w:cs="Times New Roman"/>
          <w:color w:val="0F243E" w:themeColor="text2" w:themeShade="80"/>
          <w:spacing w:val="-7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означает</w:t>
      </w:r>
      <w:r w:rsidRPr="00CE6A16">
        <w:rPr>
          <w:rFonts w:ascii="Times New Roman" w:hAnsi="Times New Roman" w:cs="Times New Roman"/>
          <w:color w:val="0F243E" w:themeColor="text2" w:themeShade="80"/>
          <w:spacing w:val="-7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системно-</w:t>
      </w:r>
      <w:proofErr w:type="spellStart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деятельностный</w:t>
      </w:r>
      <w:proofErr w:type="spellEnd"/>
      <w:r w:rsidRPr="00CE6A16">
        <w:rPr>
          <w:rFonts w:ascii="Times New Roman" w:hAnsi="Times New Roman" w:cs="Times New Roman"/>
          <w:color w:val="0F243E" w:themeColor="text2" w:themeShade="80"/>
          <w:spacing w:val="-7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pacing w:val="-2"/>
          <w:sz w:val="28"/>
          <w:szCs w:val="28"/>
        </w:rPr>
        <w:t>подход?</w:t>
      </w:r>
    </w:p>
    <w:p w:rsidR="00F30AE3" w:rsidRPr="00CE6A16" w:rsidRDefault="00F30AE3" w:rsidP="00F30AE3">
      <w:pPr>
        <w:pStyle w:val="a4"/>
        <w:spacing w:before="47"/>
        <w:ind w:left="232" w:right="816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Система –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целостность, выстроенная взаимосвязь между всеми элементами. Задача учителя – предвидеть, что ждет детей в будущем, научить их принимать решения, быть мобильными, уметь менят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ься,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умение </w:t>
      </w:r>
      <w:proofErr w:type="spellStart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самовыражаться</w:t>
      </w:r>
      <w:proofErr w:type="spellEnd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F30AE3" w:rsidRPr="00CE6A16" w:rsidRDefault="00F30AE3" w:rsidP="00F30AE3">
      <w:pPr>
        <w:pStyle w:val="a4"/>
        <w:ind w:left="232" w:right="821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Деятельность 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– игровая, учебная, мыслительная и т. д.</w:t>
      </w:r>
    </w:p>
    <w:p w:rsidR="00E37ABF" w:rsidRPr="00CE6A16" w:rsidRDefault="00E37ABF" w:rsidP="00E37ABF">
      <w:pPr>
        <w:pStyle w:val="a4"/>
        <w:spacing w:before="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Формы и методы работы на уроках математики и во внеурочное время могут быть разнообразными. </w:t>
      </w:r>
    </w:p>
    <w:p w:rsidR="00E37ABF" w:rsidRPr="00CE6A16" w:rsidRDefault="00D23F41" w:rsidP="00E37ABF">
      <w:pPr>
        <w:pStyle w:val="a4"/>
        <w:ind w:left="232" w:right="811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Для учителя математики диагностические контрольные работы позволяют  выработать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стратегию организации </w:t>
      </w:r>
      <w:proofErr w:type="spellStart"/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разноуровневого</w:t>
      </w:r>
      <w:proofErr w:type="spellEnd"/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обобщающего повторения параллельно с изучением нового </w:t>
      </w:r>
      <w:r w:rsidR="00E37ABF" w:rsidRPr="00CE6A16">
        <w:rPr>
          <w:rFonts w:ascii="Times New Roman" w:hAnsi="Times New Roman" w:cs="Times New Roman"/>
          <w:color w:val="0F243E" w:themeColor="text2" w:themeShade="80"/>
          <w:spacing w:val="-2"/>
          <w:sz w:val="28"/>
          <w:szCs w:val="28"/>
        </w:rPr>
        <w:t>материала.</w:t>
      </w:r>
    </w:p>
    <w:p w:rsidR="00E37ABF" w:rsidRPr="00CE6A16" w:rsidRDefault="00E37ABF" w:rsidP="00E37ABF">
      <w:pPr>
        <w:pStyle w:val="a4"/>
        <w:spacing w:before="1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</w:t>
      </w:r>
      <w:r w:rsidRPr="00CE6A16">
        <w:rPr>
          <w:rFonts w:ascii="Times New Roman" w:hAnsi="Times New Roman" w:cs="Times New Roman"/>
          <w:color w:val="0F243E" w:themeColor="text2" w:themeShade="80"/>
          <w:spacing w:val="-7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работе</w:t>
      </w:r>
      <w:r w:rsidRPr="00CE6A16">
        <w:rPr>
          <w:rFonts w:ascii="Times New Roman" w:hAnsi="Times New Roman" w:cs="Times New Roman"/>
          <w:color w:val="0F243E" w:themeColor="text2" w:themeShade="80"/>
          <w:spacing w:val="-5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</w:t>
      </w:r>
      <w:r w:rsidRPr="00CE6A16">
        <w:rPr>
          <w:rFonts w:ascii="Times New Roman" w:hAnsi="Times New Roman" w:cs="Times New Roman"/>
          <w:color w:val="0F243E" w:themeColor="text2" w:themeShade="80"/>
          <w:spacing w:val="-7"/>
          <w:sz w:val="28"/>
          <w:szCs w:val="28"/>
        </w:rPr>
        <w:t xml:space="preserve"> </w:t>
      </w:r>
      <w:r w:rsidR="00D23F41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выпускниками</w:t>
      </w:r>
      <w:r w:rsidRPr="00CE6A16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большое</w:t>
      </w:r>
      <w:r w:rsidRPr="00CE6A16">
        <w:rPr>
          <w:rFonts w:ascii="Times New Roman" w:hAnsi="Times New Roman" w:cs="Times New Roman"/>
          <w:color w:val="0F243E" w:themeColor="text2" w:themeShade="80"/>
          <w:spacing w:val="-5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внимание</w:t>
      </w:r>
      <w:r w:rsidRPr="00CE6A16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pacing w:val="-2"/>
          <w:sz w:val="28"/>
          <w:szCs w:val="28"/>
        </w:rPr>
        <w:t>уделяется:</w:t>
      </w:r>
    </w:p>
    <w:p w:rsidR="00E37ABF" w:rsidRPr="00CE6A16" w:rsidRDefault="00E37ABF" w:rsidP="00E37ABF">
      <w:pPr>
        <w:pStyle w:val="a6"/>
        <w:numPr>
          <w:ilvl w:val="0"/>
          <w:numId w:val="2"/>
        </w:numPr>
        <w:tabs>
          <w:tab w:val="left" w:pos="1365"/>
          <w:tab w:val="left" w:pos="1366"/>
        </w:tabs>
        <w:spacing w:before="46" w:line="273" w:lineRule="auto"/>
        <w:ind w:right="814"/>
        <w:rPr>
          <w:color w:val="0F243E" w:themeColor="text2" w:themeShade="80"/>
          <w:sz w:val="28"/>
        </w:rPr>
      </w:pPr>
      <w:r w:rsidRPr="00CE6A16">
        <w:rPr>
          <w:color w:val="0F243E" w:themeColor="text2" w:themeShade="80"/>
          <w:sz w:val="28"/>
        </w:rPr>
        <w:t>знакомству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со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структурой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и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содержанием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контрольных</w:t>
      </w:r>
      <w:r w:rsidRPr="00CE6A16">
        <w:rPr>
          <w:color w:val="0F243E" w:themeColor="text2" w:themeShade="80"/>
          <w:spacing w:val="40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 xml:space="preserve">комплексов </w:t>
      </w:r>
      <w:r w:rsidRPr="00CE6A16">
        <w:rPr>
          <w:color w:val="0F243E" w:themeColor="text2" w:themeShade="80"/>
          <w:spacing w:val="-2"/>
          <w:sz w:val="28"/>
        </w:rPr>
        <w:t>заданий;</w:t>
      </w:r>
    </w:p>
    <w:p w:rsidR="00E37ABF" w:rsidRPr="00CE6A16" w:rsidRDefault="00E37ABF" w:rsidP="00E37ABF">
      <w:pPr>
        <w:pStyle w:val="a6"/>
        <w:numPr>
          <w:ilvl w:val="0"/>
          <w:numId w:val="2"/>
        </w:numPr>
        <w:tabs>
          <w:tab w:val="left" w:pos="1365"/>
          <w:tab w:val="left" w:pos="1366"/>
        </w:tabs>
        <w:spacing w:before="3"/>
        <w:ind w:hanging="568"/>
        <w:rPr>
          <w:color w:val="0F243E" w:themeColor="text2" w:themeShade="80"/>
          <w:sz w:val="28"/>
        </w:rPr>
      </w:pPr>
      <w:r w:rsidRPr="00CE6A16">
        <w:rPr>
          <w:color w:val="0F243E" w:themeColor="text2" w:themeShade="80"/>
          <w:sz w:val="28"/>
        </w:rPr>
        <w:t>работе</w:t>
      </w:r>
      <w:r w:rsidRPr="00CE6A16">
        <w:rPr>
          <w:color w:val="0F243E" w:themeColor="text2" w:themeShade="80"/>
          <w:spacing w:val="-8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с</w:t>
      </w:r>
      <w:r w:rsidRPr="00CE6A16">
        <w:rPr>
          <w:color w:val="0F243E" w:themeColor="text2" w:themeShade="80"/>
          <w:spacing w:val="-8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использованием</w:t>
      </w:r>
      <w:r w:rsidRPr="00CE6A16">
        <w:rPr>
          <w:color w:val="0F243E" w:themeColor="text2" w:themeShade="80"/>
          <w:spacing w:val="-5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Открытых</w:t>
      </w:r>
      <w:r w:rsidRPr="00CE6A16">
        <w:rPr>
          <w:color w:val="0F243E" w:themeColor="text2" w:themeShade="80"/>
          <w:spacing w:val="-4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банков</w:t>
      </w:r>
      <w:r w:rsidRPr="00CE6A16">
        <w:rPr>
          <w:color w:val="0F243E" w:themeColor="text2" w:themeShade="80"/>
          <w:spacing w:val="-7"/>
          <w:sz w:val="28"/>
        </w:rPr>
        <w:t xml:space="preserve"> </w:t>
      </w:r>
      <w:r w:rsidRPr="00CE6A16">
        <w:rPr>
          <w:color w:val="0F243E" w:themeColor="text2" w:themeShade="80"/>
          <w:spacing w:val="-2"/>
          <w:sz w:val="28"/>
        </w:rPr>
        <w:t>заданий;</w:t>
      </w:r>
    </w:p>
    <w:p w:rsidR="00E37ABF" w:rsidRPr="00CE6A16" w:rsidRDefault="00E37ABF" w:rsidP="00E37ABF">
      <w:pPr>
        <w:pStyle w:val="a6"/>
        <w:numPr>
          <w:ilvl w:val="0"/>
          <w:numId w:val="2"/>
        </w:numPr>
        <w:tabs>
          <w:tab w:val="left" w:pos="1365"/>
          <w:tab w:val="left" w:pos="1366"/>
        </w:tabs>
        <w:spacing w:before="49"/>
        <w:ind w:hanging="568"/>
        <w:rPr>
          <w:color w:val="0F243E" w:themeColor="text2" w:themeShade="80"/>
          <w:sz w:val="28"/>
        </w:rPr>
      </w:pPr>
      <w:r w:rsidRPr="00CE6A16">
        <w:rPr>
          <w:color w:val="0F243E" w:themeColor="text2" w:themeShade="80"/>
          <w:sz w:val="28"/>
        </w:rPr>
        <w:t>обучению</w:t>
      </w:r>
      <w:r w:rsidRPr="00CE6A16">
        <w:rPr>
          <w:color w:val="0F243E" w:themeColor="text2" w:themeShade="80"/>
          <w:spacing w:val="-8"/>
          <w:sz w:val="28"/>
        </w:rPr>
        <w:t xml:space="preserve"> </w:t>
      </w:r>
      <w:r w:rsidRPr="00CE6A16">
        <w:rPr>
          <w:color w:val="0F243E" w:themeColor="text2" w:themeShade="80"/>
          <w:sz w:val="28"/>
        </w:rPr>
        <w:t>заполнению</w:t>
      </w:r>
      <w:r w:rsidRPr="00CE6A16">
        <w:rPr>
          <w:color w:val="0F243E" w:themeColor="text2" w:themeShade="80"/>
          <w:spacing w:val="-8"/>
          <w:sz w:val="28"/>
        </w:rPr>
        <w:t xml:space="preserve"> </w:t>
      </w:r>
      <w:r w:rsidRPr="00CE6A16">
        <w:rPr>
          <w:color w:val="0F243E" w:themeColor="text2" w:themeShade="80"/>
          <w:spacing w:val="-2"/>
          <w:sz w:val="28"/>
        </w:rPr>
        <w:t>бланков.</w:t>
      </w:r>
    </w:p>
    <w:p w:rsidR="00E37ABF" w:rsidRPr="00CE6A16" w:rsidRDefault="00D23F41" w:rsidP="00E37ABF">
      <w:pPr>
        <w:pStyle w:val="a4"/>
        <w:spacing w:before="47"/>
        <w:ind w:left="232" w:right="814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Немаловажно развитие у </w:t>
      </w:r>
      <w:r w:rsidR="00497B19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уча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щихся навыков самоанализа и самоконтроля. Этому умению надо обучать, начиная с 5-го класса при проведении анализа контрольных работ.</w:t>
      </w:r>
    </w:p>
    <w:p w:rsidR="00E37ABF" w:rsidRPr="00CE6A16" w:rsidRDefault="00E37ABF" w:rsidP="00E37ABF">
      <w:pPr>
        <w:pStyle w:val="a4"/>
        <w:ind w:left="232" w:right="812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Работая со слабоуспевающими учащимися, учитель должен помнить, что таким детям свойственно быстрое забывание невостребованных умений, следо</w:t>
      </w:r>
      <w:r w:rsidR="000E3750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</w:t>
      </w:r>
      <w:r w:rsidR="00497B19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ательно, им необходимо готовить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задания по принципу накопления умений. То есть, если обучающийся начал правильно выполнять задание по определённым темам, то в последующих индивидуальных работах по этим темам необходимо предусматривать хотя бы по одному заданию базового уровня сложности и включать задания другой, ещё не усвоенной темы.</w:t>
      </w:r>
      <w:r w:rsidR="000E3750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такой же схеме строятся </w:t>
      </w:r>
      <w:proofErr w:type="spellStart"/>
      <w:r w:rsidR="000E3750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ежеурочные</w:t>
      </w:r>
      <w:proofErr w:type="spellEnd"/>
      <w:r w:rsidR="000E3750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фронтальные беседы.</w:t>
      </w:r>
    </w:p>
    <w:p w:rsidR="000E3750" w:rsidRPr="00CE6A16" w:rsidRDefault="000E3750" w:rsidP="00D23F41">
      <w:pPr>
        <w:pStyle w:val="a4"/>
        <w:ind w:left="232" w:right="812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Также на 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уроках применяются «Справочники»,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«Карточки помощи»,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«Алгоритмы» выполнения тех или иных математических действий, </w:t>
      </w:r>
      <w:r w:rsidR="00E37ABF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«Па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мятки для учащихся»</w:t>
      </w:r>
      <w:proofErr w:type="gramStart"/>
      <w:r w:rsidR="00497B19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proofErr w:type="gramEnd"/>
      <w:r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создаются «ситуации успеха</w:t>
      </w:r>
      <w:r w:rsidR="00D23F41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».</w:t>
      </w:r>
    </w:p>
    <w:p w:rsidR="00D23F41" w:rsidRPr="00CE6A16" w:rsidRDefault="00D23F41" w:rsidP="00D23F41">
      <w:pPr>
        <w:pStyle w:val="a4"/>
        <w:ind w:left="232" w:right="812" w:firstLine="566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Урок в системе подготовки к ГИА</w:t>
      </w: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Разрыв между фактически изучаемым на уроках материалом и предъявляемым при проведении ГИА продолжает углубляться. Сокращение </w:t>
      </w:r>
      <w:bookmarkStart w:id="0" w:name="_GoBack"/>
      <w:bookmarkEnd w:id="0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времени, отводимого учебным планом на изучение предмета, и изменение содержания предмета затрудняет  получение учащимися высоких результатов при выполнении тестов ГИА. 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Одно из решений проблемы – совершенствование методики подготовки учащихся к экзаменам. 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Учитель должен использовать все виды уроков в зависимости от дидактических целей. Но особое внимание уделять </w:t>
      </w: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подготовке и проведению обобщающих уроков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, т.к. обобщение и закрепление ЗУН, приведение их в стройную систему помогает в подготовке к экзамену, а также способствует устранению возникших в процессе обучения пробелов.</w:t>
      </w: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Примером служит открытый урок в 10 классе на тему «Панорама показательной функции». Сейчас готовятся аналогичные уроки в 10 классе «Панорама логарифмической функции», в 11 классе «Тела вращения». 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Для того чтобы на экзамене учащиеся показали хорошее знание предмета, повторение пройденного материала </w:t>
      </w:r>
      <w:r w:rsidR="0030609C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в выпускном классе 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30609C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начинается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не за 2–3 месяца до конца учебного года, а с первых дней зан</w:t>
      </w:r>
      <w:r w:rsidR="0030609C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ятий, ибо успех 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на экзамене во многом определяется организацией повторения учебного материала. </w:t>
      </w:r>
    </w:p>
    <w:p w:rsidR="00D23F41" w:rsidRPr="00CE6A16" w:rsidRDefault="0030609C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Повторение  осуществляется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во всей системе изученного процесса:</w:t>
      </w:r>
    </w:p>
    <w:p w:rsidR="00D23F41" w:rsidRPr="00CE6A16" w:rsidRDefault="00D23F41" w:rsidP="00D23F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при изложении новых понятий;</w:t>
      </w:r>
    </w:p>
    <w:p w:rsidR="00D23F41" w:rsidRPr="00CE6A16" w:rsidRDefault="00D23F41" w:rsidP="00D23F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при закреплении </w:t>
      </w:r>
      <w:proofErr w:type="gramStart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изученного</w:t>
      </w:r>
      <w:proofErr w:type="gramEnd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ранее;</w:t>
      </w:r>
    </w:p>
    <w:p w:rsidR="00D23F41" w:rsidRPr="00CE6A16" w:rsidRDefault="00D23F41" w:rsidP="00D23F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при организации самостоятельных работ разных видов;</w:t>
      </w:r>
    </w:p>
    <w:p w:rsidR="00D23F41" w:rsidRPr="00CE6A16" w:rsidRDefault="00D23F41" w:rsidP="00D23F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при организации обобщающего повторения.</w:t>
      </w:r>
    </w:p>
    <w:p w:rsidR="00D23F41" w:rsidRPr="00CE6A16" w:rsidRDefault="0030609C" w:rsidP="003060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Чтобы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максимально использовать урок для подготовки учащихся к тому, чтобы они смогли продемонстрировать свои знания во 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время итоговой аттестации</w:t>
      </w:r>
      <w:r w:rsidR="00497B19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,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на уроках 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применяются 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опорные конспекты, таблицы, схемы как один из способов реализации принципа системности и систематичности при изучении предмета. </w:t>
      </w:r>
    </w:p>
    <w:p w:rsidR="00D23F41" w:rsidRPr="00CE6A16" w:rsidRDefault="00497B19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Использование таких методов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повышают эффект обучения или повторения материала. </w:t>
      </w:r>
    </w:p>
    <w:p w:rsidR="00D23F41" w:rsidRPr="00CE6A16" w:rsidRDefault="0030609C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Оптимальным 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вариантом подготовки учащихся в рамках урока к итоговой аттестации является частичное включение контрольно-измерительных материалов ГИА в проверочные работы на протяжении вс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его школьного курса, начиная с 5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класса. Так учащиеся постепенно знакомятся с </w:t>
      </w:r>
      <w:r w:rsidR="00D23F41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lastRenderedPageBreak/>
        <w:t xml:space="preserve">требованиями и структурой экзаменационных материалов в тестовой форме, привыкают к формулировке заданий и типам тестов. 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30609C" w:rsidRPr="00CE6A16" w:rsidRDefault="0030609C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Основные формы работы учителя </w:t>
      </w: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по подготовке выпускников к ГИА: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выявление общих и индивидуальных затруднений обучающихся по учебному предмету;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разработка технологии подготовки к ГИА по учебному предмету;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совершенствование форм, приемов и методов обучения;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формирование </w:t>
      </w:r>
      <w:proofErr w:type="spellStart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общеучебных</w:t>
      </w:r>
      <w:proofErr w:type="spellEnd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 предметных умений и навыков, универсальных учебных действий, ключевых компетенций;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определение учащихся, входящих в «группу учебного риска»;</w:t>
      </w:r>
    </w:p>
    <w:p w:rsidR="00D23F41" w:rsidRPr="00CE6A16" w:rsidRDefault="00D23F41" w:rsidP="0030609C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проведение диагностических и тренировочных работ в формате ГИА;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проведение консультаций по учебному предмету;</w:t>
      </w:r>
    </w:p>
    <w:p w:rsidR="00D23F41" w:rsidRPr="00CE6A16" w:rsidRDefault="00D23F41" w:rsidP="00D23F41">
      <w:pPr>
        <w:numPr>
          <w:ilvl w:val="0"/>
          <w:numId w:val="6"/>
        </w:numPr>
        <w:spacing w:after="0" w:line="240" w:lineRule="auto"/>
        <w:ind w:left="851" w:hanging="785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организация тренировок по заданиям Открытого банка;</w:t>
      </w:r>
    </w:p>
    <w:p w:rsidR="00D23F41" w:rsidRPr="00CE6A16" w:rsidRDefault="00D23F41" w:rsidP="0030609C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30609C" w:rsidP="0030609C">
      <w:pPr>
        <w:spacing w:after="0" w:line="240" w:lineRule="auto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                      </w:t>
      </w:r>
      <w:r w:rsidR="00D23F41"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Методические приемы в конструкторе урока</w:t>
      </w: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для повышения мотивации к учебной деятельности:</w:t>
      </w:r>
    </w:p>
    <w:p w:rsidR="00D23F41" w:rsidRPr="00CE6A16" w:rsidRDefault="00241742" w:rsidP="0030609C">
      <w:pPr>
        <w:pStyle w:val="a6"/>
        <w:numPr>
          <w:ilvl w:val="0"/>
          <w:numId w:val="13"/>
        </w:numPr>
        <w:jc w:val="both"/>
        <w:rPr>
          <w:rFonts w:eastAsia="Calibri"/>
          <w:color w:val="0F243E" w:themeColor="text2" w:themeShade="80"/>
          <w:sz w:val="28"/>
          <w:szCs w:val="28"/>
        </w:rPr>
      </w:pPr>
      <w:proofErr w:type="spellStart"/>
      <w:r w:rsidRPr="00CE6A16">
        <w:rPr>
          <w:rFonts w:eastAsia="Calibri"/>
          <w:color w:val="0F243E" w:themeColor="text2" w:themeShade="80"/>
          <w:sz w:val="28"/>
          <w:szCs w:val="28"/>
        </w:rPr>
        <w:t>Взаимо</w:t>
      </w:r>
      <w:r w:rsidR="00D23F41" w:rsidRPr="00CE6A16">
        <w:rPr>
          <w:rFonts w:eastAsia="Calibri"/>
          <w:color w:val="0F243E" w:themeColor="text2" w:themeShade="80"/>
          <w:sz w:val="28"/>
          <w:szCs w:val="28"/>
        </w:rPr>
        <w:t>опрос</w:t>
      </w:r>
      <w:proofErr w:type="spellEnd"/>
      <w:r w:rsidR="00D23F41" w:rsidRPr="00CE6A16">
        <w:rPr>
          <w:rFonts w:eastAsia="Calibri"/>
          <w:color w:val="0F243E" w:themeColor="text2" w:themeShade="80"/>
          <w:sz w:val="28"/>
          <w:szCs w:val="28"/>
        </w:rPr>
        <w:t xml:space="preserve"> «Ты – мне, я – тебе»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Мозговой штурм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«Горячий стул»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«Найди ошибки в тексте»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«Расскажи мне, расскажи»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«Что это такое?»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«Правильно – неправильно»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«Повторяем с контролем»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Опрос по цепочке</w:t>
      </w:r>
    </w:p>
    <w:p w:rsidR="00D23F41" w:rsidRPr="00CE6A16" w:rsidRDefault="00D23F41" w:rsidP="003060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Игры-тренинги: </w:t>
      </w:r>
      <w:proofErr w:type="gramStart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«Соответствие», «Логическая цепочка», «Сгруппируй», «Определи по описанию», «Дополни ряд», «Последовательность», «Четвертый лишний» и т.д.</w:t>
      </w:r>
      <w:proofErr w:type="gramEnd"/>
    </w:p>
    <w:p w:rsidR="00D23F41" w:rsidRPr="00CE6A16" w:rsidRDefault="00D23F41" w:rsidP="003060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Дидактические приемы при повторении учебного материала</w:t>
      </w:r>
    </w:p>
    <w:p w:rsidR="00D23F41" w:rsidRPr="00CE6A16" w:rsidRDefault="00D23F41" w:rsidP="0030609C">
      <w:pPr>
        <w:pStyle w:val="a6"/>
        <w:numPr>
          <w:ilvl w:val="0"/>
          <w:numId w:val="14"/>
        </w:numPr>
        <w:jc w:val="both"/>
        <w:rPr>
          <w:rFonts w:eastAsia="Calibri"/>
          <w:color w:val="0F243E" w:themeColor="text2" w:themeShade="80"/>
          <w:sz w:val="28"/>
          <w:szCs w:val="28"/>
        </w:rPr>
      </w:pPr>
      <w:r w:rsidRPr="00CE6A16">
        <w:rPr>
          <w:rFonts w:eastAsia="Calibri"/>
          <w:color w:val="0F243E" w:themeColor="text2" w:themeShade="80"/>
          <w:sz w:val="28"/>
          <w:szCs w:val="28"/>
        </w:rPr>
        <w:t>сравнение;</w:t>
      </w:r>
    </w:p>
    <w:p w:rsidR="00D23F41" w:rsidRPr="00CE6A16" w:rsidRDefault="00D23F41" w:rsidP="0030609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синтез;</w:t>
      </w:r>
    </w:p>
    <w:p w:rsidR="00D23F41" w:rsidRPr="00CE6A16" w:rsidRDefault="00D23F41" w:rsidP="0030609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анализ;</w:t>
      </w:r>
    </w:p>
    <w:p w:rsidR="00D23F41" w:rsidRPr="00CE6A16" w:rsidRDefault="00D23F41" w:rsidP="0030609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обобщение;</w:t>
      </w:r>
    </w:p>
    <w:p w:rsidR="00D23F41" w:rsidRPr="00CE6A16" w:rsidRDefault="00D23F41" w:rsidP="0030609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классификация.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Дидактический прием для осознанного восприятия материала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составление упражнений по образцу</w:t>
      </w:r>
    </w:p>
    <w:p w:rsidR="00D23F41" w:rsidRPr="00CE6A16" w:rsidRDefault="00D23F41" w:rsidP="00D23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Calibri" w:hAnsi="Times New Roman" w:cs="Times New Roman"/>
          <w:b/>
          <w:noProof/>
          <w:color w:val="0F243E" w:themeColor="text2" w:themeShade="80"/>
          <w:sz w:val="28"/>
          <w:szCs w:val="28"/>
          <w:lang w:eastAsia="ru-RU"/>
        </w:rPr>
        <w:lastRenderedPageBreak/>
        <w:t>Формы подготовки:</w:t>
      </w:r>
    </w:p>
    <w:p w:rsidR="00D23F41" w:rsidRPr="00CE6A16" w:rsidRDefault="00D23F41" w:rsidP="0030609C">
      <w:pPr>
        <w:pStyle w:val="a6"/>
        <w:numPr>
          <w:ilvl w:val="0"/>
          <w:numId w:val="15"/>
        </w:numPr>
        <w:jc w:val="both"/>
        <w:rPr>
          <w:rFonts w:eastAsia="Calibri"/>
          <w:color w:val="0F243E" w:themeColor="text2" w:themeShade="80"/>
          <w:sz w:val="28"/>
          <w:szCs w:val="28"/>
        </w:rPr>
      </w:pPr>
      <w:r w:rsidRPr="00CE6A16">
        <w:rPr>
          <w:rFonts w:eastAsia="Calibri"/>
          <w:color w:val="0F243E" w:themeColor="text2" w:themeShade="80"/>
          <w:sz w:val="28"/>
          <w:szCs w:val="28"/>
        </w:rPr>
        <w:t xml:space="preserve">текущий поурочный контроль по отдельным компонентам содержания Кодификатора; </w:t>
      </w:r>
    </w:p>
    <w:p w:rsidR="00D23F41" w:rsidRPr="00CE6A16" w:rsidRDefault="00D23F41" w:rsidP="003060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изготовление </w:t>
      </w:r>
      <w:proofErr w:type="gramStart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обучающимся</w:t>
      </w:r>
      <w:proofErr w:type="gramEnd"/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дидактического материала для систематизации знаний и эффективного усвоения объектов проверки ГИА (таблицы, опорные конспекты, кластеры);</w:t>
      </w:r>
    </w:p>
    <w:p w:rsidR="00D23F41" w:rsidRPr="00CE6A16" w:rsidRDefault="00D23F41" w:rsidP="003060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обучение правилам оформления выполненного задания, технология выбора верного ответа;</w:t>
      </w:r>
    </w:p>
    <w:p w:rsidR="00D23F41" w:rsidRPr="00CE6A16" w:rsidRDefault="00D23F41" w:rsidP="003060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диагностическое тестирование по разделам;</w:t>
      </w:r>
    </w:p>
    <w:p w:rsidR="00D23F41" w:rsidRPr="00CE6A16" w:rsidRDefault="00D23F41" w:rsidP="003060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коллективный разбор сложных заданий;</w:t>
      </w:r>
    </w:p>
    <w:p w:rsidR="00D23F41" w:rsidRPr="00CE6A16" w:rsidRDefault="00D23F41" w:rsidP="003060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организация самопроверки и анализа ошибок;</w:t>
      </w:r>
    </w:p>
    <w:p w:rsidR="00D23F41" w:rsidRPr="00CE6A16" w:rsidRDefault="00D23F41" w:rsidP="0030609C">
      <w:pPr>
        <w:pStyle w:val="a6"/>
        <w:numPr>
          <w:ilvl w:val="0"/>
          <w:numId w:val="15"/>
        </w:numPr>
        <w:jc w:val="both"/>
        <w:rPr>
          <w:rFonts w:eastAsia="Calibri"/>
          <w:color w:val="0F243E" w:themeColor="text2" w:themeShade="80"/>
          <w:sz w:val="28"/>
          <w:szCs w:val="28"/>
        </w:rPr>
      </w:pPr>
      <w:r w:rsidRPr="00CE6A16">
        <w:rPr>
          <w:rFonts w:eastAsia="Calibri"/>
          <w:color w:val="0F243E" w:themeColor="text2" w:themeShade="80"/>
          <w:sz w:val="28"/>
          <w:szCs w:val="28"/>
        </w:rPr>
        <w:t>использование Интернет-ресурсов</w:t>
      </w: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Приемы </w:t>
      </w: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для улучшения освоения различных видов учебной деятельности </w:t>
      </w:r>
    </w:p>
    <w:p w:rsidR="00D23F41" w:rsidRPr="00CE6A16" w:rsidRDefault="00D23F41" w:rsidP="00D23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при подготовке к ГИА:</w:t>
      </w:r>
    </w:p>
    <w:p w:rsidR="00D23F41" w:rsidRPr="00CE6A16" w:rsidRDefault="00D23F41" w:rsidP="0030609C">
      <w:pPr>
        <w:pStyle w:val="a6"/>
        <w:numPr>
          <w:ilvl w:val="0"/>
          <w:numId w:val="16"/>
        </w:numPr>
        <w:jc w:val="both"/>
        <w:rPr>
          <w:rFonts w:eastAsia="Calibri"/>
          <w:color w:val="0F243E" w:themeColor="text2" w:themeShade="80"/>
          <w:sz w:val="28"/>
          <w:szCs w:val="28"/>
        </w:rPr>
      </w:pPr>
      <w:r w:rsidRPr="00CE6A16">
        <w:rPr>
          <w:rFonts w:eastAsia="Calibri"/>
          <w:color w:val="0F243E" w:themeColor="text2" w:themeShade="80"/>
          <w:sz w:val="28"/>
          <w:szCs w:val="28"/>
        </w:rPr>
        <w:t>использовать</w:t>
      </w:r>
      <w:r w:rsidR="000E50A3" w:rsidRPr="00CE6A16">
        <w:rPr>
          <w:rFonts w:eastAsia="Calibri"/>
          <w:color w:val="0F243E" w:themeColor="text2" w:themeShade="80"/>
          <w:sz w:val="28"/>
          <w:szCs w:val="28"/>
        </w:rPr>
        <w:t xml:space="preserve"> рисунки, таблицы, </w:t>
      </w:r>
      <w:r w:rsidRPr="00CE6A16">
        <w:rPr>
          <w:rFonts w:eastAsia="Calibri"/>
          <w:color w:val="0F243E" w:themeColor="text2" w:themeShade="80"/>
          <w:sz w:val="28"/>
          <w:szCs w:val="28"/>
        </w:rPr>
        <w:t xml:space="preserve"> схемы для иллюстрации и объяснен</w:t>
      </w:r>
      <w:r w:rsidR="000E50A3" w:rsidRPr="00CE6A16">
        <w:rPr>
          <w:rFonts w:eastAsia="Calibri"/>
          <w:color w:val="0F243E" w:themeColor="text2" w:themeShade="80"/>
          <w:sz w:val="28"/>
          <w:szCs w:val="28"/>
        </w:rPr>
        <w:t>ия нового материала</w:t>
      </w:r>
      <w:r w:rsidRPr="00CE6A16">
        <w:rPr>
          <w:rFonts w:eastAsia="Calibri"/>
          <w:color w:val="0F243E" w:themeColor="text2" w:themeShade="80"/>
          <w:sz w:val="28"/>
          <w:szCs w:val="28"/>
        </w:rPr>
        <w:t>;</w:t>
      </w:r>
    </w:p>
    <w:p w:rsidR="00D23F41" w:rsidRPr="00CE6A16" w:rsidRDefault="00D23F41" w:rsidP="003060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давать задания, требующие составления схем, рисунков, таблиц;</w:t>
      </w:r>
    </w:p>
    <w:p w:rsidR="00D23F41" w:rsidRPr="00CE6A16" w:rsidRDefault="00D23F41" w:rsidP="003060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решать задачи на применение знаний в различных практических ситуациях;</w:t>
      </w:r>
    </w:p>
    <w:p w:rsidR="00D23F41" w:rsidRPr="00CE6A16" w:rsidRDefault="00D23F41" w:rsidP="003060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использовать задания, требующие четкого и лаконичного письменного ответа;</w:t>
      </w:r>
    </w:p>
    <w:p w:rsidR="00D23F41" w:rsidRPr="00CE6A16" w:rsidRDefault="00D23F41" w:rsidP="000E50A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практиковать анализ и комментирование текстовых фрагментов, устных ответов товарищей, нахождение ошибок в логике высказываний;</w:t>
      </w:r>
    </w:p>
    <w:p w:rsidR="00D23F41" w:rsidRPr="00CE6A16" w:rsidRDefault="00D23F41" w:rsidP="003060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использовать тестирование с разнообразными видами тестовых заданий, аналогичных заданиям ГИА;</w:t>
      </w:r>
    </w:p>
    <w:p w:rsidR="00D23F41" w:rsidRPr="00CE6A16" w:rsidRDefault="00D23F41" w:rsidP="003060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использовать методические приемы в конструкторе урока.</w:t>
      </w:r>
    </w:p>
    <w:p w:rsidR="00D23F41" w:rsidRPr="00CE6A16" w:rsidRDefault="00D23F41" w:rsidP="00D23F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НАПРИМЕР, Нап</w:t>
      </w:r>
      <w:r w:rsidR="000E50A3"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равления работы учителя математики</w:t>
      </w:r>
      <w:r w:rsidRPr="00CE6A16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:</w:t>
      </w:r>
    </w:p>
    <w:p w:rsidR="00D23F41" w:rsidRPr="00CE6A16" w:rsidRDefault="00D23F41" w:rsidP="00D23F4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отдавать приоритет формированию знаний о фундаментальны</w:t>
      </w:r>
      <w:r w:rsidR="000E50A3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 понятиях</w:t>
      </w: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, наиболе</w:t>
      </w:r>
      <w:r w:rsidR="000E50A3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е важных теорем, свойств</w:t>
      </w:r>
    </w:p>
    <w:p w:rsidR="00D23F41" w:rsidRPr="00CE6A16" w:rsidRDefault="00D23F41" w:rsidP="00D23F4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добиваться достижения учащимися базового уровня подготовки, уделяя внимание наиболее значи</w:t>
      </w:r>
      <w:r w:rsidR="000E50A3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мым и наиболее трудным вопросам</w:t>
      </w:r>
    </w:p>
    <w:p w:rsidR="00D23F41" w:rsidRPr="00CE6A16" w:rsidRDefault="00D23F41" w:rsidP="000E50A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разгружать учебный материал за счет сокращения описательного и второстепенного компонентов</w:t>
      </w:r>
    </w:p>
    <w:p w:rsidR="00D23F41" w:rsidRPr="00CE6A16" w:rsidRDefault="00D23F41" w:rsidP="00D23F4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находить время и возможности для повтор</w:t>
      </w:r>
      <w:r w:rsidR="000E50A3" w:rsidRPr="00CE6A16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ения и закрепления материала 5-9 классов </w:t>
      </w:r>
    </w:p>
    <w:p w:rsidR="00AA351C" w:rsidRPr="00CE6A16" w:rsidRDefault="00AA351C" w:rsidP="00AA351C">
      <w:pPr>
        <w:pStyle w:val="a4"/>
        <w:ind w:right="812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AA351C" w:rsidRPr="00CE6A16" w:rsidRDefault="00AA351C" w:rsidP="00AA351C">
      <w:pPr>
        <w:pStyle w:val="a4"/>
        <w:ind w:right="812"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Образовательные порталы для подготовки к ГИА являются более мобильным устройством, чем бумажный вариант. Их много, но особого внимания заслуживает образовательный портал «Решу ЕГЭ».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Данный портал представляет образовательную систему и специально создан для подготовки к ГИА и дает для работы учителя целый ряд возможностей: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организовать тематическое повторение;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организовать текущий контроль знаний;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проводить итоговые контрольные работы, для этого предоставляется возможность пройти тестирование в формате ОГЭ или ЕГЭ по одному из предложенных на сайте вариантов или по варианту, составленному учителем;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контролировать уровень подготовки учащихся;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повторить теоретический материал по заданиям экзаменационного теста, а также использовать краткий справочник;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дистанционно решать учащимися онлайн-тесты, составленные учителем или взятые из базы системы;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дистанционно оценивать результаты учащихся.</w:t>
      </w: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AA351C" w:rsidRPr="00CE6A16" w:rsidRDefault="00AA351C" w:rsidP="00AA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CE6A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Интерактивные компьютерные технологии являются всего лишь инструментом в учебном процессе, главным остается учитель, который обязан грамотно и целесообразно использовать современные информационные технологии.</w:t>
      </w:r>
    </w:p>
    <w:p w:rsidR="00AA351C" w:rsidRPr="00CE6A16" w:rsidRDefault="00AA351C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41742" w:rsidRPr="00CE6A16" w:rsidRDefault="00241742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41742" w:rsidRPr="00CE6A16" w:rsidRDefault="002F095A" w:rsidP="001E56FB">
      <w:pPr>
        <w:pStyle w:val="a4"/>
        <w:numPr>
          <w:ilvl w:val="0"/>
          <w:numId w:val="18"/>
        </w:numPr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hyperlink r:id="rId8" w:history="1">
        <w:r w:rsidR="002A0CBB" w:rsidRPr="00CE6A16">
          <w:rPr>
            <w:rStyle w:val="a3"/>
            <w:rFonts w:ascii="Times New Roman" w:hAnsi="Times New Roman" w:cs="Times New Roman"/>
            <w:color w:val="0F243E" w:themeColor="text2" w:themeShade="80"/>
            <w:sz w:val="28"/>
            <w:szCs w:val="28"/>
          </w:rPr>
          <w:t>памятка для учащихся</w:t>
        </w:r>
      </w:hyperlink>
      <w:r w:rsidR="002A0CBB" w:rsidRPr="00CE6A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«Как подготовиться к ГИА»</w:t>
      </w:r>
    </w:p>
    <w:p w:rsidR="00BB0EBA" w:rsidRPr="00CE6A16" w:rsidRDefault="002F095A" w:rsidP="001E56FB">
      <w:pPr>
        <w:pStyle w:val="a4"/>
        <w:numPr>
          <w:ilvl w:val="0"/>
          <w:numId w:val="18"/>
        </w:numPr>
        <w:ind w:right="812"/>
        <w:jc w:val="both"/>
        <w:rPr>
          <w:color w:val="0F243E" w:themeColor="text2" w:themeShade="80"/>
        </w:rPr>
      </w:pPr>
      <w:hyperlink r:id="rId9" w:history="1">
        <w:r w:rsidR="002A0CBB" w:rsidRPr="00CE6A16">
          <w:rPr>
            <w:rStyle w:val="a3"/>
            <w:rFonts w:ascii="Times New Roman" w:hAnsi="Times New Roman" w:cs="Times New Roman"/>
            <w:color w:val="0F243E" w:themeColor="text2" w:themeShade="80"/>
            <w:sz w:val="28"/>
            <w:szCs w:val="28"/>
          </w:rPr>
          <w:t>интерактивные формы подготовки к ГИА</w:t>
        </w:r>
      </w:hyperlink>
      <w:r w:rsidR="002A0CBB" w:rsidRPr="00CE6A16">
        <w:rPr>
          <w:color w:val="0F243E" w:themeColor="text2" w:themeShade="80"/>
        </w:rPr>
        <w:t xml:space="preserve"> </w:t>
      </w:r>
    </w:p>
    <w:p w:rsidR="002A0CBB" w:rsidRPr="00CE6A16" w:rsidRDefault="00E9475F" w:rsidP="001E56FB">
      <w:pPr>
        <w:pStyle w:val="a4"/>
        <w:numPr>
          <w:ilvl w:val="0"/>
          <w:numId w:val="18"/>
        </w:numPr>
        <w:ind w:right="812"/>
        <w:jc w:val="both"/>
        <w:rPr>
          <w:rStyle w:val="a3"/>
          <w:rFonts w:ascii="Times New Roman" w:hAnsi="Times New Roman" w:cs="Times New Roman"/>
          <w:color w:val="0F243E" w:themeColor="text2" w:themeShade="80"/>
          <w:sz w:val="28"/>
          <w:szCs w:val="28"/>
        </w:rPr>
      </w:pPr>
      <w:hyperlink r:id="rId10" w:history="1">
        <w:r w:rsidR="002A0CBB" w:rsidRPr="00CE6A16">
          <w:rPr>
            <w:rStyle w:val="a3"/>
            <w:rFonts w:ascii="Times New Roman" w:hAnsi="Times New Roman" w:cs="Times New Roman"/>
            <w:color w:val="0F243E" w:themeColor="text2" w:themeShade="80"/>
            <w:sz w:val="28"/>
            <w:szCs w:val="28"/>
          </w:rPr>
          <w:t>этапы деятельности учителя при подготовке к ГИА</w:t>
        </w:r>
      </w:hyperlink>
    </w:p>
    <w:p w:rsidR="001E56FB" w:rsidRPr="00CE6A16" w:rsidRDefault="002F095A" w:rsidP="001E56FB">
      <w:pPr>
        <w:pStyle w:val="a4"/>
        <w:numPr>
          <w:ilvl w:val="0"/>
          <w:numId w:val="18"/>
        </w:numPr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hyperlink r:id="rId11" w:history="1">
        <w:r w:rsidR="001E56FB" w:rsidRPr="00CE6A16">
          <w:rPr>
            <w:rStyle w:val="a3"/>
            <w:rFonts w:ascii="Times New Roman" w:hAnsi="Times New Roman" w:cs="Times New Roman"/>
            <w:color w:val="0F243E" w:themeColor="text2" w:themeShade="80"/>
            <w:sz w:val="28"/>
            <w:szCs w:val="28"/>
          </w:rPr>
          <w:t>навыки учащихся, которые необходимо развивать при подготовке к ГИА</w:t>
        </w:r>
      </w:hyperlink>
    </w:p>
    <w:p w:rsidR="002A0CBB" w:rsidRPr="00CE6A16" w:rsidRDefault="002A0CBB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A0CBB" w:rsidRPr="00CE6A16" w:rsidRDefault="002A0CBB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A0CBB" w:rsidRPr="00CE6A16" w:rsidRDefault="002A0CBB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41742" w:rsidRPr="00CE6A16" w:rsidRDefault="00241742" w:rsidP="00AA351C">
      <w:pPr>
        <w:pStyle w:val="a4"/>
        <w:ind w:right="81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  <w:sectPr w:rsidR="00241742" w:rsidRPr="00CE6A16" w:rsidSect="000E3750">
          <w:footerReference w:type="default" r:id="rId12"/>
          <w:pgSz w:w="11910" w:h="16840"/>
          <w:pgMar w:top="1134" w:right="850" w:bottom="1134" w:left="1701" w:header="0" w:footer="734" w:gutter="0"/>
          <w:cols w:space="720"/>
          <w:docGrid w:linePitch="299"/>
        </w:sectPr>
      </w:pPr>
    </w:p>
    <w:p w:rsidR="00E37ABF" w:rsidRPr="00CE6A16" w:rsidRDefault="00E37ABF" w:rsidP="00EE530E">
      <w:pPr>
        <w:pStyle w:val="a4"/>
        <w:spacing w:before="2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E37ABF" w:rsidRPr="00CE6A16" w:rsidSect="00EE530E">
      <w:pgSz w:w="11910" w:h="16840"/>
      <w:pgMar w:top="1134" w:right="850" w:bottom="1134" w:left="1701" w:header="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5F" w:rsidRDefault="00E9475F" w:rsidP="000E50A3">
      <w:pPr>
        <w:spacing w:after="0" w:line="240" w:lineRule="auto"/>
      </w:pPr>
      <w:r>
        <w:separator/>
      </w:r>
    </w:p>
  </w:endnote>
  <w:endnote w:type="continuationSeparator" w:id="0">
    <w:p w:rsidR="00E9475F" w:rsidRDefault="00E9475F" w:rsidP="000E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BF" w:rsidRDefault="002F095A">
    <w:pPr>
      <w:pStyle w:val="a4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1" type="#_x0000_t202" style="position:absolute;margin-left:276.95pt;margin-top:794.2pt;width:13.3pt;height:13.05pt;z-index:-251658752;mso-position-horizontal-relative:page;mso-position-vertical-relative:page" filled="f" stroked="f">
          <v:textbox inset="0,0,0,0">
            <w:txbxContent>
              <w:p w:rsidR="00E37ABF" w:rsidRDefault="00E37ABF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5F" w:rsidRDefault="00E9475F" w:rsidP="000E50A3">
      <w:pPr>
        <w:spacing w:after="0" w:line="240" w:lineRule="auto"/>
      </w:pPr>
      <w:r>
        <w:separator/>
      </w:r>
    </w:p>
  </w:footnote>
  <w:footnote w:type="continuationSeparator" w:id="0">
    <w:p w:rsidR="00E9475F" w:rsidRDefault="00E9475F" w:rsidP="000E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BAE"/>
    <w:multiLevelType w:val="hybridMultilevel"/>
    <w:tmpl w:val="827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C12E7"/>
    <w:multiLevelType w:val="hybridMultilevel"/>
    <w:tmpl w:val="F19EC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73114"/>
    <w:multiLevelType w:val="hybridMultilevel"/>
    <w:tmpl w:val="1310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414E7"/>
    <w:multiLevelType w:val="hybridMultilevel"/>
    <w:tmpl w:val="4A4A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5EA5"/>
    <w:multiLevelType w:val="hybridMultilevel"/>
    <w:tmpl w:val="388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833D0"/>
    <w:multiLevelType w:val="hybridMultilevel"/>
    <w:tmpl w:val="E3CC9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D63D02"/>
    <w:multiLevelType w:val="hybridMultilevel"/>
    <w:tmpl w:val="63AAD228"/>
    <w:lvl w:ilvl="0" w:tplc="F2F6693E">
      <w:numFmt w:val="bullet"/>
      <w:lvlText w:val=""/>
      <w:lvlJc w:val="left"/>
      <w:pPr>
        <w:ind w:left="136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660A7C">
      <w:numFmt w:val="bullet"/>
      <w:lvlText w:val=""/>
      <w:lvlJc w:val="left"/>
      <w:pPr>
        <w:ind w:left="193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6B691D6">
      <w:numFmt w:val="bullet"/>
      <w:lvlText w:val="•"/>
      <w:lvlJc w:val="left"/>
      <w:pPr>
        <w:ind w:left="2911" w:hanging="567"/>
      </w:pPr>
      <w:rPr>
        <w:rFonts w:hint="default"/>
        <w:lang w:val="ru-RU" w:eastAsia="en-US" w:bidi="ar-SA"/>
      </w:rPr>
    </w:lvl>
    <w:lvl w:ilvl="3" w:tplc="342613DA">
      <w:numFmt w:val="bullet"/>
      <w:lvlText w:val="•"/>
      <w:lvlJc w:val="left"/>
      <w:pPr>
        <w:ind w:left="3883" w:hanging="567"/>
      </w:pPr>
      <w:rPr>
        <w:rFonts w:hint="default"/>
        <w:lang w:val="ru-RU" w:eastAsia="en-US" w:bidi="ar-SA"/>
      </w:rPr>
    </w:lvl>
    <w:lvl w:ilvl="4" w:tplc="15583252">
      <w:numFmt w:val="bullet"/>
      <w:lvlText w:val="•"/>
      <w:lvlJc w:val="left"/>
      <w:pPr>
        <w:ind w:left="4855" w:hanging="567"/>
      </w:pPr>
      <w:rPr>
        <w:rFonts w:hint="default"/>
        <w:lang w:val="ru-RU" w:eastAsia="en-US" w:bidi="ar-SA"/>
      </w:rPr>
    </w:lvl>
    <w:lvl w:ilvl="5" w:tplc="C696E9F0">
      <w:numFmt w:val="bullet"/>
      <w:lvlText w:val="•"/>
      <w:lvlJc w:val="left"/>
      <w:pPr>
        <w:ind w:left="5827" w:hanging="567"/>
      </w:pPr>
      <w:rPr>
        <w:rFonts w:hint="default"/>
        <w:lang w:val="ru-RU" w:eastAsia="en-US" w:bidi="ar-SA"/>
      </w:rPr>
    </w:lvl>
    <w:lvl w:ilvl="6" w:tplc="4C0AB1A2">
      <w:numFmt w:val="bullet"/>
      <w:lvlText w:val="•"/>
      <w:lvlJc w:val="left"/>
      <w:pPr>
        <w:ind w:left="6799" w:hanging="567"/>
      </w:pPr>
      <w:rPr>
        <w:rFonts w:hint="default"/>
        <w:lang w:val="ru-RU" w:eastAsia="en-US" w:bidi="ar-SA"/>
      </w:rPr>
    </w:lvl>
    <w:lvl w:ilvl="7" w:tplc="40766684">
      <w:numFmt w:val="bullet"/>
      <w:lvlText w:val="•"/>
      <w:lvlJc w:val="left"/>
      <w:pPr>
        <w:ind w:left="7770" w:hanging="567"/>
      </w:pPr>
      <w:rPr>
        <w:rFonts w:hint="default"/>
        <w:lang w:val="ru-RU" w:eastAsia="en-US" w:bidi="ar-SA"/>
      </w:rPr>
    </w:lvl>
    <w:lvl w:ilvl="8" w:tplc="3D2E7636">
      <w:numFmt w:val="bullet"/>
      <w:lvlText w:val="•"/>
      <w:lvlJc w:val="left"/>
      <w:pPr>
        <w:ind w:left="8742" w:hanging="567"/>
      </w:pPr>
      <w:rPr>
        <w:rFonts w:hint="default"/>
        <w:lang w:val="ru-RU" w:eastAsia="en-US" w:bidi="ar-SA"/>
      </w:rPr>
    </w:lvl>
  </w:abstractNum>
  <w:abstractNum w:abstractNumId="7">
    <w:nsid w:val="3B9E62DD"/>
    <w:multiLevelType w:val="hybridMultilevel"/>
    <w:tmpl w:val="2BB64DB4"/>
    <w:lvl w:ilvl="0" w:tplc="E2265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565D9E"/>
    <w:multiLevelType w:val="hybridMultilevel"/>
    <w:tmpl w:val="89A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25341"/>
    <w:multiLevelType w:val="hybridMultilevel"/>
    <w:tmpl w:val="1650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D5089"/>
    <w:multiLevelType w:val="hybridMultilevel"/>
    <w:tmpl w:val="DB365052"/>
    <w:lvl w:ilvl="0" w:tplc="E2265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F01C09"/>
    <w:multiLevelType w:val="hybridMultilevel"/>
    <w:tmpl w:val="6272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6656D"/>
    <w:multiLevelType w:val="hybridMultilevel"/>
    <w:tmpl w:val="8D825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A8152D"/>
    <w:multiLevelType w:val="hybridMultilevel"/>
    <w:tmpl w:val="373C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14B18"/>
    <w:multiLevelType w:val="hybridMultilevel"/>
    <w:tmpl w:val="487E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D7E97"/>
    <w:multiLevelType w:val="hybridMultilevel"/>
    <w:tmpl w:val="67242C64"/>
    <w:lvl w:ilvl="0" w:tplc="E2265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005F12"/>
    <w:multiLevelType w:val="hybridMultilevel"/>
    <w:tmpl w:val="183AB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96A2513"/>
    <w:multiLevelType w:val="hybridMultilevel"/>
    <w:tmpl w:val="248438AC"/>
    <w:lvl w:ilvl="0" w:tplc="E2265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16"/>
  </w:num>
  <w:num w:numId="6">
    <w:abstractNumId w:val="5"/>
  </w:num>
  <w:num w:numId="7">
    <w:abstractNumId w:val="15"/>
  </w:num>
  <w:num w:numId="8">
    <w:abstractNumId w:val="7"/>
  </w:num>
  <w:num w:numId="9">
    <w:abstractNumId w:val="17"/>
  </w:num>
  <w:num w:numId="10">
    <w:abstractNumId w:val="10"/>
  </w:num>
  <w:num w:numId="11">
    <w:abstractNumId w:val="12"/>
  </w:num>
  <w:num w:numId="12">
    <w:abstractNumId w:val="8"/>
  </w:num>
  <w:num w:numId="13">
    <w:abstractNumId w:val="13"/>
  </w:num>
  <w:num w:numId="14">
    <w:abstractNumId w:val="2"/>
  </w:num>
  <w:num w:numId="15">
    <w:abstractNumId w:val="11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78"/>
    <w:rsid w:val="000B27E7"/>
    <w:rsid w:val="000B3F65"/>
    <w:rsid w:val="000E3750"/>
    <w:rsid w:val="000E50A3"/>
    <w:rsid w:val="001E56FB"/>
    <w:rsid w:val="00241742"/>
    <w:rsid w:val="002A0CBB"/>
    <w:rsid w:val="0030609C"/>
    <w:rsid w:val="003B7BFD"/>
    <w:rsid w:val="00497B19"/>
    <w:rsid w:val="00A67A4F"/>
    <w:rsid w:val="00AA351C"/>
    <w:rsid w:val="00BB0EBA"/>
    <w:rsid w:val="00CB1278"/>
    <w:rsid w:val="00CC622C"/>
    <w:rsid w:val="00CE6A16"/>
    <w:rsid w:val="00D23F41"/>
    <w:rsid w:val="00E37ABF"/>
    <w:rsid w:val="00E9475F"/>
    <w:rsid w:val="00EA1504"/>
    <w:rsid w:val="00ED5CE3"/>
    <w:rsid w:val="00EE530E"/>
    <w:rsid w:val="00F3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E530E"/>
    <w:pPr>
      <w:widowControl w:val="0"/>
      <w:autoSpaceDE w:val="0"/>
      <w:autoSpaceDN w:val="0"/>
      <w:spacing w:after="0" w:line="240" w:lineRule="auto"/>
      <w:ind w:left="13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A4F"/>
    <w:rPr>
      <w:color w:val="0000FF"/>
      <w:u w:val="single"/>
    </w:rPr>
  </w:style>
  <w:style w:type="character" w:customStyle="1" w:styleId="fontstyle21">
    <w:name w:val="fontstyle21"/>
    <w:basedOn w:val="a0"/>
    <w:rsid w:val="00A67A4F"/>
  </w:style>
  <w:style w:type="paragraph" w:styleId="a4">
    <w:name w:val="Body Text"/>
    <w:basedOn w:val="a"/>
    <w:link w:val="a5"/>
    <w:uiPriority w:val="99"/>
    <w:unhideWhenUsed/>
    <w:rsid w:val="00ED5C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D5CE3"/>
  </w:style>
  <w:style w:type="character" w:customStyle="1" w:styleId="20">
    <w:name w:val="Заголовок 2 Знак"/>
    <w:basedOn w:val="a0"/>
    <w:link w:val="2"/>
    <w:uiPriority w:val="1"/>
    <w:rsid w:val="00EE53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37ABF"/>
    <w:pPr>
      <w:widowControl w:val="0"/>
      <w:autoSpaceDE w:val="0"/>
      <w:autoSpaceDN w:val="0"/>
      <w:spacing w:after="0" w:line="240" w:lineRule="auto"/>
      <w:ind w:left="798" w:hanging="567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0B3F6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E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50A3"/>
  </w:style>
  <w:style w:type="paragraph" w:styleId="aa">
    <w:name w:val="footer"/>
    <w:basedOn w:val="a"/>
    <w:link w:val="ab"/>
    <w:uiPriority w:val="99"/>
    <w:unhideWhenUsed/>
    <w:rsid w:val="000E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50A3"/>
  </w:style>
  <w:style w:type="paragraph" w:styleId="ac">
    <w:name w:val="Balloon Text"/>
    <w:basedOn w:val="a"/>
    <w:link w:val="ad"/>
    <w:uiPriority w:val="99"/>
    <w:semiHidden/>
    <w:unhideWhenUsed/>
    <w:rsid w:val="00CE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6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E530E"/>
    <w:pPr>
      <w:widowControl w:val="0"/>
      <w:autoSpaceDE w:val="0"/>
      <w:autoSpaceDN w:val="0"/>
      <w:spacing w:after="0" w:line="240" w:lineRule="auto"/>
      <w:ind w:left="13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A4F"/>
    <w:rPr>
      <w:color w:val="0000FF"/>
      <w:u w:val="single"/>
    </w:rPr>
  </w:style>
  <w:style w:type="character" w:customStyle="1" w:styleId="fontstyle21">
    <w:name w:val="fontstyle21"/>
    <w:basedOn w:val="a0"/>
    <w:rsid w:val="00A67A4F"/>
  </w:style>
  <w:style w:type="paragraph" w:styleId="a4">
    <w:name w:val="Body Text"/>
    <w:basedOn w:val="a"/>
    <w:link w:val="a5"/>
    <w:uiPriority w:val="99"/>
    <w:unhideWhenUsed/>
    <w:rsid w:val="00ED5C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D5CE3"/>
  </w:style>
  <w:style w:type="character" w:customStyle="1" w:styleId="20">
    <w:name w:val="Заголовок 2 Знак"/>
    <w:basedOn w:val="a0"/>
    <w:link w:val="2"/>
    <w:uiPriority w:val="1"/>
    <w:rsid w:val="00EE53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37ABF"/>
    <w:pPr>
      <w:widowControl w:val="0"/>
      <w:autoSpaceDE w:val="0"/>
      <w:autoSpaceDN w:val="0"/>
      <w:spacing w:after="0" w:line="240" w:lineRule="auto"/>
      <w:ind w:left="798" w:hanging="567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0B3F6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E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50A3"/>
  </w:style>
  <w:style w:type="paragraph" w:styleId="aa">
    <w:name w:val="footer"/>
    <w:basedOn w:val="a"/>
    <w:link w:val="ab"/>
    <w:uiPriority w:val="99"/>
    <w:unhideWhenUsed/>
    <w:rsid w:val="000E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50A3"/>
  </w:style>
  <w:style w:type="paragraph" w:styleId="ac">
    <w:name w:val="Balloon Text"/>
    <w:basedOn w:val="a"/>
    <w:link w:val="ad"/>
    <w:uiPriority w:val="99"/>
    <w:semiHidden/>
    <w:unhideWhenUsed/>
    <w:rsid w:val="00CE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6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sgJgkW3MbRdyRG6kC3pSRcXPj0Cmuc5/view?usp=shari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1vcQ7Ro8VJkoH_OD533WXBNygOKzccvF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pT_ixtbvbro1FAP0qsanS38Nq2lStO4e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8_0VCxaKKxIelSo5IHKOpYm3CbnKOsG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с132</dc:creator>
  <cp:keywords/>
  <dc:description/>
  <cp:lastModifiedBy>Comp</cp:lastModifiedBy>
  <cp:revision>7</cp:revision>
  <cp:lastPrinted>2022-01-29T17:10:00Z</cp:lastPrinted>
  <dcterms:created xsi:type="dcterms:W3CDTF">2022-01-23T12:55:00Z</dcterms:created>
  <dcterms:modified xsi:type="dcterms:W3CDTF">2022-01-29T17:12:00Z</dcterms:modified>
</cp:coreProperties>
</file>