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FAA9">
      <w:pPr>
        <w:spacing w:before="0" w:beforeAutospacing="0" w:after="0" w:afterAutospacing="0" w:line="240" w:lineRule="auto"/>
        <w:ind w:left="0" w:right="-79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Минин</w:t>
      </w:r>
      <w:r>
        <w:rPr>
          <w:rFonts w:hint="default"/>
          <w:sz w:val="24"/>
          <w:szCs w:val="24"/>
          <w:lang w:val="ru-RU"/>
        </w:rPr>
        <w:t xml:space="preserve"> Евгений Сергеевич</w:t>
      </w:r>
    </w:p>
    <w:p w14:paraId="57891166">
      <w:pPr>
        <w:spacing w:before="0" w:beforeAutospacing="0" w:after="0" w:afterAutospacing="0" w:line="240" w:lineRule="auto"/>
        <w:ind w:left="0" w:right="-79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Собирание</w:t>
      </w:r>
      <w:r>
        <w:rPr>
          <w:rFonts w:hint="default"/>
          <w:sz w:val="24"/>
          <w:szCs w:val="24"/>
          <w:lang w:val="ru-RU"/>
        </w:rPr>
        <w:t xml:space="preserve"> доказательств в уголовном процессе</w:t>
      </w:r>
    </w:p>
    <w:p w14:paraId="055AB386">
      <w:pPr>
        <w:spacing w:before="0" w:beforeAutospacing="0" w:after="0" w:afterAutospacing="0" w:line="240" w:lineRule="auto"/>
        <w:ind w:left="0" w:right="-79" w:firstLine="567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Аннотация. В данной научной статье раскрыты особенности </w:t>
      </w:r>
      <w:r>
        <w:rPr>
          <w:b w:val="0"/>
          <w:i/>
          <w:sz w:val="24"/>
          <w:szCs w:val="24"/>
          <w:lang w:val="ru-RU"/>
        </w:rPr>
        <w:t>м</w:t>
      </w:r>
      <w:r>
        <w:rPr>
          <w:rFonts w:hint="default"/>
          <w:b w:val="0"/>
          <w:i/>
          <w:sz w:val="24"/>
          <w:szCs w:val="24"/>
          <w:lang w:val="ru-RU"/>
        </w:rPr>
        <w:t xml:space="preserve"> проблемы собирания доказательств в уголовном процессе</w:t>
      </w:r>
      <w:r>
        <w:rPr>
          <w:b w:val="0"/>
          <w:i/>
          <w:sz w:val="24"/>
          <w:szCs w:val="24"/>
        </w:rPr>
        <w:t xml:space="preserve">. </w:t>
      </w:r>
    </w:p>
    <w:p w14:paraId="5BD1ADA4">
      <w:pPr>
        <w:spacing w:before="0" w:beforeAutospacing="0" w:after="0" w:afterAutospacing="0" w:line="240" w:lineRule="auto"/>
        <w:ind w:left="0" w:right="-79" w:firstLine="567"/>
        <w:rPr>
          <w:rFonts w:hint="default"/>
          <w:b w:val="0"/>
          <w:i/>
          <w:sz w:val="24"/>
          <w:szCs w:val="24"/>
          <w:lang w:val="ru-RU"/>
        </w:rPr>
      </w:pPr>
      <w:r>
        <w:rPr>
          <w:b w:val="0"/>
          <w:i/>
          <w:sz w:val="24"/>
          <w:szCs w:val="24"/>
        </w:rPr>
        <w:t xml:space="preserve">Ключевые слова: </w:t>
      </w:r>
      <w:r>
        <w:rPr>
          <w:b w:val="0"/>
          <w:i/>
          <w:sz w:val="24"/>
          <w:szCs w:val="24"/>
          <w:lang w:val="ru-RU"/>
        </w:rPr>
        <w:t>доказательства</w:t>
      </w:r>
      <w:r>
        <w:rPr>
          <w:b w:val="0"/>
          <w:i/>
          <w:sz w:val="24"/>
          <w:szCs w:val="24"/>
        </w:rPr>
        <w:t>,</w:t>
      </w:r>
      <w:r>
        <w:rPr>
          <w:rFonts w:hint="default"/>
          <w:b w:val="0"/>
          <w:i/>
          <w:sz w:val="24"/>
          <w:szCs w:val="24"/>
          <w:lang w:val="ru-RU"/>
        </w:rPr>
        <w:t xml:space="preserve"> уголовный процесс,</w:t>
      </w:r>
      <w:r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ru-RU"/>
        </w:rPr>
        <w:t>проблемы</w:t>
      </w:r>
      <w:r>
        <w:rPr>
          <w:rFonts w:hint="default"/>
          <w:b w:val="0"/>
          <w:i/>
          <w:sz w:val="24"/>
          <w:szCs w:val="24"/>
          <w:lang w:val="ru-RU"/>
        </w:rPr>
        <w:t xml:space="preserve"> собирания доказательств в уголовном процессе.</w:t>
      </w:r>
    </w:p>
    <w:p w14:paraId="7A55A51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center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Введение</w:t>
      </w:r>
    </w:p>
    <w:p w14:paraId="1DE141C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Актуальность выбранной темы исследования. Изучение случившегося события в уголовном процессе совершается опосредованным путем. Средством подобного познания считаются доказательства. Формирование доказательства равно как сведений о случившемся событии базируется на возможности каждого предмета либо явления под влиянием иного меняться либо сохранить следы (отпечатки) этого воздействующего предмета, явления. </w:t>
      </w:r>
    </w:p>
    <w:p w14:paraId="025302F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Высшей конфигурацией отражения справедливого мира считается мыслительная работа лица, включающая понимание, получение и переработку данных, на базе которых возникает понимание, в том числе и о фактах минувшего. </w:t>
      </w:r>
    </w:p>
    <w:p w14:paraId="4912C9C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События правонарушения и сопряженные с ним условия сохраняют в памяти людей, на вещах, бумагах какие-то следы (отражение происшедшего). </w:t>
      </w:r>
    </w:p>
    <w:p w14:paraId="02B948D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Данные следы в той либо иной форме отражают явление минувшего, несут сведение о нем. Если разговор идет о следах-отображениях, в таком случае имеют в виду как отпечатки события, оставшиеся на предметах (к примеру, отпечатки пальцев, поломанная машина, письмо, в котором рассказан план преступления и т. п.), так и сохранение в памяти людей этих происшествий, которые они наблюдали. Данная отражательная способность человека, как и предметов, делает их носителями тех данных о прецедентах прошлого, на базе которых следователь, прокурор, суд приходят к конкретным выводам согласно делу. </w:t>
      </w:r>
    </w:p>
    <w:p w14:paraId="0B0DD23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Доказательства были определены в УПК РФ в качестве сведений, т.е. информация об обстоятельствах преступления, по поводу которого проводится расследование либо рассматривается судом уголовное дело, которая была проведена лицом, производящим расследование, или судом в ходе допроса граждан, проведения иных процессуальных действий и по сбору и проверке доказательств, ознакомлению с предметами и документами, приобщенными к делу. В качестве материального носителя данных сведений могут быть человек, неодушевленный предмет или документы.</w:t>
      </w:r>
    </w:p>
    <w:p w14:paraId="67C531A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В ч. 1 ст. 74 УПК характеризуется содержательная область сведений, в ч. 2 той же статьи указывается полный список процессуальных источников, которые эти сведения могут включать. Это показания лиц, решения специалистов, материальные доказательства, протоколы следственных и судебных действий, другие документы. </w:t>
      </w:r>
    </w:p>
    <w:p w14:paraId="721D54C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Применительно к каждому источнику получения сведений закон определяет порядок собирания (допрос, обследование, осмотр и др.) и процессуального закрепления. </w:t>
      </w:r>
    </w:p>
    <w:p w14:paraId="6ADAB48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Источник сведений и процедура (модель) их составления (допросы, осмотр, экспертиза и др.) и закрепления в определенных процессуальных документах служат причиной для отделения разновидностей доказательств.</w:t>
      </w:r>
    </w:p>
    <w:p w14:paraId="57F78E9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Цель работы – охарактеризовать особенности собирания доказательств в уголовном процессе.</w:t>
      </w:r>
    </w:p>
    <w:p w14:paraId="5599524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 соответствии с данной целью, могут быть выделены следующие задачи исследования:</w:t>
      </w:r>
    </w:p>
    <w:p w14:paraId="0F44393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1)раскрыть понятие и содержание доказательств в уголовном процессе;</w:t>
      </w:r>
    </w:p>
    <w:p w14:paraId="3244053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2)определить место собирания доказательств в структуре уголовно-процессуального доказывания;</w:t>
      </w:r>
    </w:p>
    <w:p w14:paraId="33F8B27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3)охарактеризовать показания обвиняемого и подозреваемого;</w:t>
      </w:r>
    </w:p>
    <w:p w14:paraId="2651CDF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4)выявить особенности показаний свидетеля и потерпевшего.</w:t>
      </w:r>
    </w:p>
    <w:p w14:paraId="55C023E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Объект исследования – нормативно-правовая характеристика доказательств в уголовном процессе. Предмет исследования – виды доказательств в уголовном процессе.</w:t>
      </w:r>
    </w:p>
    <w:p w14:paraId="797A784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 основу методологии и методики исследования положены диалектический метод познания, в том числе общенаучные и частнонаучные методы: исторический, логико-юридический, статистический, социологический.</w:t>
      </w:r>
    </w:p>
    <w:p w14:paraId="68DBF04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center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Основная часть</w:t>
      </w:r>
    </w:p>
    <w:p w14:paraId="6D85967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 соответствии со ст. 74   Уголовно-процессуального кодекса Российской Федерации от 18.12.2001 3 174-ФЗ, далее – УПК РФ, доказательствами по уголовному делу являются любые сведения, на основе которых суд, прокурор, следователь, дознаватель в порядке, определенном настоящим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</w:t>
      </w:r>
    </w:p>
    <w:p w14:paraId="220886B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2. В качестве доказательств допускаются:</w:t>
      </w:r>
    </w:p>
    <w:p w14:paraId="654D4CC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1) показания подозреваемого, обвиняемого;</w:t>
      </w:r>
    </w:p>
    <w:p w14:paraId="230DF21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2) показания потерпевшего, свидетеля;</w:t>
      </w:r>
    </w:p>
    <w:p w14:paraId="5DF6948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3) заключение и показания эксперта;</w:t>
      </w:r>
    </w:p>
    <w:p w14:paraId="7DEEAAD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3.1) заключение и показания специалиста;</w:t>
      </w:r>
    </w:p>
    <w:p w14:paraId="3C2BA75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4) вещественные доказательства;</w:t>
      </w:r>
    </w:p>
    <w:p w14:paraId="60CA66D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5) протоколы следственных и судебных действий;</w:t>
      </w:r>
    </w:p>
    <w:p w14:paraId="3DCEB84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6) иные документы.</w:t>
      </w:r>
    </w:p>
    <w:p w14:paraId="524606F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Собирание доказательств осуществляется в ходе уголовного судопроизводства дознавателем, следователем, прокурором и судом путем производства следственных и иных процессуальных действий, предусмотренных настоящим Кодексом.</w:t>
      </w:r>
    </w:p>
    <w:p w14:paraId="019088F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Подозреваемый, обвиняемый, а также потерпевший, гражданский истец,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доказательств.</w:t>
      </w:r>
    </w:p>
    <w:p w14:paraId="05553A6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Защитник вправе собирать доказательства путем:</w:t>
      </w:r>
    </w:p>
    <w:p w14:paraId="26B3191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1) получения предметов, документов и иных сведений;</w:t>
      </w:r>
    </w:p>
    <w:p w14:paraId="1F3F9D9D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2) опроса лиц с их согласия;</w:t>
      </w:r>
    </w:p>
    <w:p w14:paraId="57B69A5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запрашиваемые документы или их копии.</w:t>
      </w:r>
    </w:p>
    <w:p w14:paraId="220F2A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Исходя из буквального толкования этих норм можно предположить, что всем указанным лицам предоставлено право самостоятельно собирать доказательства. Вместе с тем трудно представить себе тот уголовный процесс, в котором защитник и тем более обвиняемый, подозреваемый, а также потерпевший, гражданский истец, гражданский ответчик и их представители реально могли бы быть уравнены в праве собирать доказательства с дознавателем, следователем, прокурором или судом.</w:t>
      </w:r>
    </w:p>
    <w:p w14:paraId="749C193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Наделение указанных лиц правом собирать доказательства не должно означать и не означает, что все они могут непосредственно собирать доказательственную информацию о преступлении, т.е. информацию, заведомо признаваемую доказательственной без ее последующего представления следователю, дознавателю или суду и приобщения к уголовному делу. Деятельность защитника, подозреваемого, обвиняемого, а также потерпевшего, гражданского истца, гражданского ответчика и их представителей, на наш взгляд, может и должна рассматриваться лишь как содействие следователю, дознавателю, прокурору или суду в собирании доказательств [3].</w:t>
      </w:r>
    </w:p>
    <w:p w14:paraId="57839F5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 целях устранения какой-либо возможности злоупотребления защитником, подозреваемым, обвиняемым, а также потерпевшим, гражданским истцом, гражданским ответчиком и их представителями правом на содействие собиранию доказательств эта деятельность должна осуществляться в строго регламентированных уголовно-процессуальным законом формах. Соответствующие же процессуально-познавательные действия следует рассматривать как разновидность средств собирания доказательств.</w:t>
      </w:r>
    </w:p>
    <w:p w14:paraId="5920833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Вместе с тем следует отметить, что УПК РФ не регламентирует деятельность этих субъектов по содействию в собирании доказательств. Понятия «средство собирания доказательств» и «содействие в собирании доказательств» в нем также не используются. Вместе с тем включение в уголовно-процессуальный закон понятия «средство собирания доказательств» позволило бы конкретизировать субъектов совершения указанных процессуальных действий, а также уточнить преследуемые цели и порядок их производства. Отсутствие подобной правовой базы порождает противоречия в законе, а вместе с тем и многочисленные научные споры. В связи с этим необходимо выделить отличительные признаки, которые бы в совокупности позволили квалифицировать то или иное процессуальное действие как средство собирания доказательств.</w:t>
      </w:r>
    </w:p>
    <w:p w14:paraId="547240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Средство собирания доказательств в любом случае должно отличаться своей познавательной сущностью. Кроме того, работа познающего субъекта с носителем доказательственной информации и получение соответствующей информации (потенциального доказательства) немыслимо вне процессуальной формы. Можно утверждать, что средство собирания доказательств — это процессуально-познавательное действие, имеющее целью получение доказательственной информации о расследуемом преступлении и производимое в установленном законом порядке. Получение доказательственной информации является тем признаком, который насыщает средства собирания доказательств смыслом и процессуальной значимостью.</w:t>
      </w:r>
    </w:p>
    <w:p w14:paraId="750AB08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Процессуально-познавательное действие является прерогативой лиц, осуществляющих производство по уголовному делу: дознавателя, следователя и суда. Процессуально-познавательные действия присущи также иным субъектам, в силу своей заинтересованности содействующим собиранию доказательств: защитнику, подозреваемому, обвиняемому, а также потерпевшему, гражданскому истцу, гражданскому ответчику и их представителям. Каждое лицо должно осуществлять лишь те процессуально-познавательные действия, на которые указывает уголовно-процессуальный закон. При этом каждое средство собирания доказательств имеет собственный субъектный состав.</w:t>
      </w:r>
    </w:p>
    <w:p w14:paraId="180A5D5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Таким образом, средство собирания доказательств — это процессуально-познавательное действие, совершаемое дознавателем, следователем, судом, защитником, подозреваемым, обвиняемым, а также потерпевшим, гражданским истцом, гражданским ответчиком и их представителями, посредством которого они решают задачи, связанные с обнаружением и процессуальным закреплением доказательственной информации, а также ее использованием.</w:t>
      </w:r>
    </w:p>
    <w:p w14:paraId="3477B3F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center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Заключение</w:t>
      </w:r>
    </w:p>
    <w:p w14:paraId="029F912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 w:firstLine="480" w:firstLineChars="20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Таким образом, на основании проведенного исследования могут быть сделаны следующие выводы.</w:t>
      </w:r>
    </w:p>
    <w:p w14:paraId="5432EBA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Вышеизложенное позволяет сделать вывод, что под собиранием доказательств принято понимать совершение субъектами доказывания, в пределах их полномочий и прав, действий, направленных на обнаружение, истребование, получение и закрепление в установленном законом порядке доказательств.</w:t>
      </w:r>
    </w:p>
    <w:p w14:paraId="6C0AF97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Собирание доказательств представляет собой начальный этап доказывания, состоящий в осуществлении управомоченным государственным органом поисковых, познавательных, удостоверительных и правообеспечительных операций в целях восприятия в достаточно большом объеме информации, заключенной в следах преступления и запечатления ее в материалах дела.</w:t>
      </w:r>
    </w:p>
    <w:p w14:paraId="677CEA4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Качество процессуальной формы находится в зависимости от точности выполненных процессуальных и следственных операций согласно собиранию, получению и контролю, закреплению в качестве вещественных доказательств. </w:t>
      </w:r>
    </w:p>
    <w:p w14:paraId="3763EB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Присутствие установлении относимости доказательственной информации, содержащейся в предмете либо следе, больше всего следует произвести все воздействия для признания объекта и следа вещественным доказательством и тенденции его для выполнения экспертного изучения. </w:t>
      </w:r>
    </w:p>
    <w:p w14:paraId="0E16329D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Вещественные доказательства представляют важную роль в сохранении данных. Определенные материальные подтверждения сохраняют доказательственную информацию достаточно долгое время в отличии от людской памяти. </w:t>
      </w:r>
    </w:p>
    <w:p w14:paraId="0B1B689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Человек с течением периода забывает определенные компоненты события, но вещественные доказательства при верном изъятии и сохранении их в подходящих условиях могут удерживать доказательственную информацию в весь промежуток проведения предварительного расследования. </w:t>
      </w:r>
    </w:p>
    <w:p w14:paraId="5FFD70D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</w:p>
    <w:p w14:paraId="003308A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 w:firstLine="439" w:firstLineChars="183"/>
        <w:contextualSpacing/>
        <w:jc w:val="center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Список использованных источников и литературы</w:t>
      </w:r>
    </w:p>
    <w:p w14:paraId="7F6A465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</w:p>
    <w:p w14:paraId="0145977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1.Конституция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N 2-ФКЗ, от 21.07.2014 № 11-ФКЗ).</w:t>
      </w:r>
    </w:p>
    <w:p w14:paraId="512A2E3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2.Уголовный кодекс Российской Федерации от 13.06.1996 № 63-ФЗ//Консультант Плюс</w:t>
      </w:r>
    </w:p>
    <w:p w14:paraId="1CE27C3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3.Уголовно-процессуальный кодекс Российской Федерации от 18.12.2001 № 174-ФЗ//Консультант Плюс </w:t>
      </w:r>
    </w:p>
    <w:p w14:paraId="056A7AD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right="0"/>
        <w:contextualSpacing/>
        <w:jc w:val="both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4.Безлепкин, Б.Т. Уголовный процесс в вопросах и ответах: учебное пособие / Б. Т. Безлепкин. – Москва: Проспект, 2025. – 326 с.</w:t>
      </w:r>
    </w:p>
    <w:p w14:paraId="20EB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/>
        <w:contextualSpacing/>
        <w:jc w:val="both"/>
        <w:textAlignment w:val="auto"/>
        <w:outlineLvl w:val="9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5.Зажицкий, В. И. Результаты оперативно-розыскной деятельности в уголовном судопроизводстве / В.И. Зажицкий. – Москва.: Юридический центр, 2022. – 460 c.</w:t>
      </w:r>
    </w:p>
    <w:p w14:paraId="782BCF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leftChars="0" w:right="-79" w:firstLine="0" w:firstLineChars="0"/>
        <w:jc w:val="both"/>
        <w:textAlignment w:val="auto"/>
        <w:rPr>
          <w:b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6.Уголовный процесс в схемах. Особенная часть: учебно–методическое пособие / А. А. Данилевич, В. И. Самарин. – Минск: Издательский центр Белорусского государственного университета, 2024. – 175 с.</w:t>
      </w:r>
    </w:p>
    <w:p w14:paraId="0E0C3CB1">
      <w:pPr>
        <w:spacing w:before="0" w:beforeAutospacing="0" w:after="0" w:afterAutospacing="0" w:line="360" w:lineRule="auto"/>
        <w:ind w:left="0" w:right="-79" w:firstLine="567"/>
        <w:jc w:val="center"/>
        <w:rPr>
          <w:b w:val="0"/>
        </w:rPr>
      </w:pPr>
    </w:p>
    <w:p w14:paraId="6082A841">
      <w:pPr>
        <w:spacing w:before="0" w:beforeAutospacing="0" w:after="0" w:afterAutospacing="0" w:line="360" w:lineRule="auto"/>
        <w:ind w:left="0" w:firstLine="709"/>
        <w:rPr>
          <w:b w:val="0"/>
        </w:rPr>
      </w:pPr>
      <w:bookmarkStart w:id="0" w:name="_GoBack"/>
      <w:bookmarkEnd w:id="0"/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cademy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6A"/>
    <w:rsid w:val="00017590"/>
    <w:rsid w:val="001231AB"/>
    <w:rsid w:val="00124997"/>
    <w:rsid w:val="0017375B"/>
    <w:rsid w:val="00177A92"/>
    <w:rsid w:val="001A2215"/>
    <w:rsid w:val="001C4255"/>
    <w:rsid w:val="002750F7"/>
    <w:rsid w:val="002C045A"/>
    <w:rsid w:val="00315AE3"/>
    <w:rsid w:val="003365C8"/>
    <w:rsid w:val="003538FE"/>
    <w:rsid w:val="003A706B"/>
    <w:rsid w:val="003D66BB"/>
    <w:rsid w:val="00423D24"/>
    <w:rsid w:val="004324AD"/>
    <w:rsid w:val="004A4436"/>
    <w:rsid w:val="004F3B55"/>
    <w:rsid w:val="00511487"/>
    <w:rsid w:val="00543483"/>
    <w:rsid w:val="00571D2D"/>
    <w:rsid w:val="005A0655"/>
    <w:rsid w:val="005E491E"/>
    <w:rsid w:val="005F46F5"/>
    <w:rsid w:val="0062606C"/>
    <w:rsid w:val="006271A1"/>
    <w:rsid w:val="00644CCD"/>
    <w:rsid w:val="006812F2"/>
    <w:rsid w:val="006B406A"/>
    <w:rsid w:val="00701FDE"/>
    <w:rsid w:val="00702B4C"/>
    <w:rsid w:val="0076012D"/>
    <w:rsid w:val="00760F95"/>
    <w:rsid w:val="00801AFA"/>
    <w:rsid w:val="00834ADD"/>
    <w:rsid w:val="00842CB1"/>
    <w:rsid w:val="00886862"/>
    <w:rsid w:val="0089302F"/>
    <w:rsid w:val="008B4317"/>
    <w:rsid w:val="008E389F"/>
    <w:rsid w:val="009004E0"/>
    <w:rsid w:val="00994CB9"/>
    <w:rsid w:val="009A6C50"/>
    <w:rsid w:val="00A26A6B"/>
    <w:rsid w:val="00A407CF"/>
    <w:rsid w:val="00A46B17"/>
    <w:rsid w:val="00A47F85"/>
    <w:rsid w:val="00AA27D6"/>
    <w:rsid w:val="00AE7489"/>
    <w:rsid w:val="00AF5D2D"/>
    <w:rsid w:val="00B149FC"/>
    <w:rsid w:val="00BF376A"/>
    <w:rsid w:val="00C037F9"/>
    <w:rsid w:val="00C473D5"/>
    <w:rsid w:val="00C91F55"/>
    <w:rsid w:val="00CF61A7"/>
    <w:rsid w:val="00D27C9E"/>
    <w:rsid w:val="00D46AA9"/>
    <w:rsid w:val="00D6452D"/>
    <w:rsid w:val="00DA2459"/>
    <w:rsid w:val="00DC7AF8"/>
    <w:rsid w:val="00DE491A"/>
    <w:rsid w:val="00E52019"/>
    <w:rsid w:val="00E66E70"/>
    <w:rsid w:val="00E700EC"/>
    <w:rsid w:val="00E865CC"/>
    <w:rsid w:val="00EA29AD"/>
    <w:rsid w:val="00EF16C1"/>
    <w:rsid w:val="00F107EE"/>
    <w:rsid w:val="00F3055B"/>
    <w:rsid w:val="00F362C2"/>
    <w:rsid w:val="00F46DF0"/>
    <w:rsid w:val="00F5176A"/>
    <w:rsid w:val="00FA43EB"/>
    <w:rsid w:val="00FD5F2E"/>
    <w:rsid w:val="00FE2865"/>
    <w:rsid w:val="4FB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left="-180" w:right="-81"/>
      <w:jc w:val="both"/>
      <w:outlineLvl w:val="1"/>
    </w:pPr>
    <w:rPr>
      <w:rFonts w:ascii="Times New Roman" w:hAnsi="Times New Roman" w:eastAsiaTheme="minorHAnsi" w:cstheme="minorBidi"/>
      <w:b/>
      <w:bCs/>
      <w:sz w:val="28"/>
      <w:szCs w:val="28"/>
      <w:lang w:val="ru-RU" w:eastAsia="en-US" w:bidi="ar-SA"/>
    </w:rPr>
  </w:style>
  <w:style w:type="paragraph" w:styleId="2">
    <w:name w:val="heading 2"/>
    <w:basedOn w:val="1"/>
    <w:link w:val="12"/>
    <w:qFormat/>
    <w:uiPriority w:val="9"/>
    <w:rPr>
      <w:rFonts w:eastAsia="Times New Roman" w:cs="Times New Roman"/>
      <w:sz w:val="36"/>
      <w:szCs w:val="36"/>
    </w:rPr>
  </w:style>
  <w:style w:type="paragraph" w:styleId="3">
    <w:name w:val="heading 3"/>
    <w:basedOn w:val="1"/>
    <w:link w:val="13"/>
    <w:qFormat/>
    <w:uiPriority w:val="9"/>
    <w:pPr>
      <w:outlineLvl w:val="2"/>
    </w:pPr>
    <w:rPr>
      <w:rFonts w:eastAsia="Times New Roman" w:cs="Times New Roman"/>
      <w:sz w:val="27"/>
      <w:szCs w:val="27"/>
    </w:rPr>
  </w:style>
  <w:style w:type="paragraph" w:styleId="4">
    <w:name w:val="heading 5"/>
    <w:basedOn w:val="1"/>
    <w:next w:val="1"/>
    <w:link w:val="14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b w:val="0"/>
      <w:bCs w:val="0"/>
      <w:color w:val="254061" w:themeColor="accent1" w:themeShade="80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qFormat/>
    <w:uiPriority w:val="99"/>
    <w:pPr>
      <w:ind w:left="0" w:right="0"/>
      <w:jc w:val="left"/>
      <w:outlineLvl w:val="9"/>
    </w:pPr>
    <w:rPr>
      <w:rFonts w:eastAsia="Times New Roman" w:cs="Times New Roman"/>
      <w:b w:val="0"/>
      <w:bCs w:val="0"/>
      <w:sz w:val="24"/>
      <w:szCs w:val="24"/>
      <w:lang w:eastAsia="ru-RU"/>
    </w:rPr>
  </w:style>
  <w:style w:type="paragraph" w:styleId="10">
    <w:name w:val="List 2"/>
    <w:basedOn w:val="1"/>
    <w:qFormat/>
    <w:uiPriority w:val="0"/>
    <w:pPr>
      <w:spacing w:before="0" w:beforeAutospacing="0" w:after="0" w:afterAutospacing="0"/>
      <w:ind w:left="566" w:right="0" w:hanging="283"/>
      <w:jc w:val="center"/>
      <w:outlineLvl w:val="9"/>
    </w:pPr>
    <w:rPr>
      <w:rFonts w:ascii="Academy" w:hAnsi="Academy" w:eastAsia="Times New Roman" w:cs="Times New Roman"/>
      <w:b w:val="0"/>
      <w:bCs w:val="0"/>
      <w:sz w:val="26"/>
      <w:szCs w:val="20"/>
      <w:lang w:eastAsia="ru-RU"/>
    </w:rPr>
  </w:style>
  <w:style w:type="table" w:styleId="11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2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3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4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15">
    <w:name w:val="List Paragraph"/>
    <w:basedOn w:val="1"/>
    <w:qFormat/>
    <w:uiPriority w:val="34"/>
    <w:pPr>
      <w:spacing w:before="0" w:beforeAutospacing="0" w:after="200" w:afterAutospacing="0" w:line="276" w:lineRule="auto"/>
      <w:ind w:left="720" w:right="0"/>
      <w:contextualSpacing/>
      <w:jc w:val="left"/>
      <w:outlineLvl w:val="9"/>
    </w:pPr>
    <w:rPr>
      <w:rFonts w:ascii="Calibri" w:hAnsi="Calibri" w:eastAsia="Calibri" w:cs="Times New Roman"/>
      <w:b w:val="0"/>
      <w:bCs w:val="0"/>
      <w:sz w:val="22"/>
      <w:szCs w:val="22"/>
    </w:rPr>
  </w:style>
  <w:style w:type="character" w:customStyle="1" w:styleId="16">
    <w:name w:val="Текст выноски Знак"/>
    <w:basedOn w:val="5"/>
    <w:link w:val="8"/>
    <w:semiHidden/>
    <w:qFormat/>
    <w:uiPriority w:val="99"/>
    <w:rPr>
      <w:rFonts w:ascii="Tahoma" w:hAnsi="Tahoma" w:cs="Tahoma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4E46-1B91-4AAB-A23D-3887B40B4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OMGPU</Company>
  <Pages>4</Pages>
  <Words>1751</Words>
  <Characters>9982</Characters>
  <Lines>83</Lines>
  <Paragraphs>23</Paragraphs>
  <TotalTime>2</TotalTime>
  <ScaleCrop>false</ScaleCrop>
  <LinksUpToDate>false</LinksUpToDate>
  <CharactersWithSpaces>11710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2022-12-21T11:40:00Z</dcterms:created>
  <dc:creator>1</dc:creator>
  <cp:lastModifiedBy>Masha</cp:lastModifiedBy>
  <dcterms:modified xsi:type="dcterms:W3CDTF">2026-03-03T06:30:14Z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83096C3CF1734281A3C6B15C641E9DE2_13</vt:lpwstr>
  </property>
</Properties>
</file>