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0920" w14:textId="56BB610E" w:rsidR="00370BA5" w:rsidRPr="00370BA5" w:rsidRDefault="00370BA5" w:rsidP="00370BA5">
      <w:pPr>
        <w:pStyle w:val="p1"/>
        <w:spacing w:before="0" w:beforeAutospacing="0" w:after="0" w:afterAutospacing="0" w:line="360" w:lineRule="auto"/>
        <w:ind w:firstLine="709"/>
        <w:jc w:val="center"/>
        <w:rPr>
          <w:b/>
          <w:bCs/>
          <w:sz w:val="28"/>
          <w:szCs w:val="28"/>
        </w:rPr>
      </w:pPr>
      <w:r>
        <w:rPr>
          <w:b/>
          <w:bCs/>
          <w:sz w:val="28"/>
          <w:szCs w:val="28"/>
        </w:rPr>
        <w:t>ПРОБЛЕМЫ ЛЕЧЕБНО-ОЗДОРОВИТЕЛЬНОГО ТУРИЗМА</w:t>
      </w:r>
    </w:p>
    <w:p w14:paraId="16E820E8" w14:textId="77777777" w:rsidR="00370BA5" w:rsidRPr="00370BA5" w:rsidRDefault="00DE4057" w:rsidP="00370BA5">
      <w:pPr>
        <w:pStyle w:val="p1"/>
        <w:spacing w:before="0" w:beforeAutospacing="0" w:after="0" w:afterAutospacing="0" w:line="360" w:lineRule="auto"/>
        <w:ind w:firstLine="709"/>
        <w:jc w:val="right"/>
        <w:rPr>
          <w:b/>
          <w:bCs/>
          <w:sz w:val="28"/>
          <w:szCs w:val="28"/>
        </w:rPr>
      </w:pPr>
      <w:proofErr w:type="spellStart"/>
      <w:r w:rsidRPr="00370BA5">
        <w:rPr>
          <w:b/>
          <w:bCs/>
          <w:sz w:val="28"/>
          <w:szCs w:val="28"/>
        </w:rPr>
        <w:t>Базба</w:t>
      </w:r>
      <w:proofErr w:type="spellEnd"/>
      <w:r w:rsidRPr="00370BA5">
        <w:rPr>
          <w:b/>
          <w:bCs/>
          <w:sz w:val="28"/>
          <w:szCs w:val="28"/>
        </w:rPr>
        <w:t xml:space="preserve"> </w:t>
      </w:r>
      <w:proofErr w:type="spellStart"/>
      <w:r w:rsidRPr="00370BA5">
        <w:rPr>
          <w:b/>
          <w:bCs/>
          <w:sz w:val="28"/>
          <w:szCs w:val="28"/>
        </w:rPr>
        <w:t>Инола</w:t>
      </w:r>
      <w:proofErr w:type="spellEnd"/>
      <w:r w:rsidRPr="00370BA5">
        <w:rPr>
          <w:b/>
          <w:bCs/>
          <w:sz w:val="28"/>
          <w:szCs w:val="28"/>
        </w:rPr>
        <w:t xml:space="preserve"> </w:t>
      </w:r>
      <w:proofErr w:type="spellStart"/>
      <w:r w:rsidRPr="00370BA5">
        <w:rPr>
          <w:b/>
          <w:bCs/>
          <w:sz w:val="28"/>
          <w:szCs w:val="28"/>
        </w:rPr>
        <w:t>Налиевна</w:t>
      </w:r>
      <w:proofErr w:type="spellEnd"/>
    </w:p>
    <w:p w14:paraId="05F63EDD" w14:textId="77777777" w:rsidR="00370BA5" w:rsidRDefault="00691353" w:rsidP="00370BA5">
      <w:pPr>
        <w:pStyle w:val="p1"/>
        <w:spacing w:before="0" w:beforeAutospacing="0" w:after="0" w:afterAutospacing="0" w:line="360" w:lineRule="auto"/>
        <w:ind w:firstLine="709"/>
        <w:jc w:val="right"/>
        <w:rPr>
          <w:b/>
          <w:bCs/>
          <w:sz w:val="28"/>
          <w:szCs w:val="28"/>
        </w:rPr>
      </w:pPr>
      <w:r w:rsidRPr="00691353">
        <w:rPr>
          <w:sz w:val="28"/>
          <w:szCs w:val="28"/>
        </w:rPr>
        <w:t>студентка</w:t>
      </w:r>
      <w:r w:rsidR="0041186E">
        <w:rPr>
          <w:sz w:val="28"/>
          <w:szCs w:val="28"/>
        </w:rPr>
        <w:t xml:space="preserve"> 4 курса группы 22-Т</w:t>
      </w:r>
      <w:r>
        <w:rPr>
          <w:b/>
          <w:bCs/>
          <w:sz w:val="28"/>
          <w:szCs w:val="28"/>
        </w:rPr>
        <w:t xml:space="preserve"> </w:t>
      </w:r>
    </w:p>
    <w:p w14:paraId="2D96145B" w14:textId="1270A1A7" w:rsidR="00DE4057" w:rsidRDefault="00DE4057" w:rsidP="00370BA5">
      <w:pPr>
        <w:pStyle w:val="p1"/>
        <w:spacing w:before="0" w:beforeAutospacing="0" w:after="0" w:afterAutospacing="0" w:line="360" w:lineRule="auto"/>
        <w:ind w:firstLine="709"/>
        <w:jc w:val="right"/>
        <w:rPr>
          <w:rFonts w:eastAsia="Calibri"/>
          <w:sz w:val="28"/>
          <w:szCs w:val="28"/>
        </w:rPr>
      </w:pPr>
      <w:r w:rsidRPr="00DE4057">
        <w:rPr>
          <w:rFonts w:eastAsia="Calibri"/>
          <w:sz w:val="28"/>
          <w:szCs w:val="28"/>
        </w:rPr>
        <w:t xml:space="preserve">ФГБОУ ВО </w:t>
      </w:r>
      <w:r w:rsidR="003B3F67">
        <w:rPr>
          <w:rFonts w:eastAsia="Calibri"/>
          <w:sz w:val="28"/>
          <w:szCs w:val="28"/>
        </w:rPr>
        <w:t>«</w:t>
      </w:r>
      <w:r w:rsidRPr="00DE4057">
        <w:rPr>
          <w:rFonts w:eastAsia="Calibri"/>
          <w:sz w:val="28"/>
          <w:szCs w:val="28"/>
        </w:rPr>
        <w:t>Сочинский государственный университет</w:t>
      </w:r>
      <w:r w:rsidR="003B3F67">
        <w:rPr>
          <w:rFonts w:eastAsia="Calibri"/>
          <w:sz w:val="28"/>
          <w:szCs w:val="28"/>
        </w:rPr>
        <w:t>»</w:t>
      </w:r>
      <w:r w:rsidR="00691353">
        <w:rPr>
          <w:rFonts w:eastAsia="Calibri"/>
          <w:sz w:val="28"/>
          <w:szCs w:val="28"/>
        </w:rPr>
        <w:t xml:space="preserve"> </w:t>
      </w:r>
    </w:p>
    <w:p w14:paraId="1020C6EE" w14:textId="32AB7EBE" w:rsidR="00A97718" w:rsidRDefault="00A97718" w:rsidP="00A97718">
      <w:pPr>
        <w:pStyle w:val="p1"/>
        <w:spacing w:before="0" w:beforeAutospacing="0" w:after="0" w:afterAutospacing="0" w:line="360" w:lineRule="auto"/>
        <w:ind w:firstLine="709"/>
        <w:jc w:val="right"/>
        <w:rPr>
          <w:rFonts w:eastAsia="Calibri"/>
          <w:b/>
          <w:bCs/>
          <w:sz w:val="28"/>
          <w:szCs w:val="28"/>
        </w:rPr>
      </w:pPr>
      <w:r>
        <w:rPr>
          <w:rFonts w:eastAsia="Calibri"/>
          <w:b/>
          <w:bCs/>
          <w:sz w:val="28"/>
          <w:szCs w:val="28"/>
        </w:rPr>
        <w:t>Фесенко Олеся Павловна</w:t>
      </w:r>
    </w:p>
    <w:p w14:paraId="7E4E52E4" w14:textId="1374EA8F" w:rsidR="00A97718" w:rsidRPr="00A97718" w:rsidRDefault="00A97718" w:rsidP="00A97718">
      <w:pPr>
        <w:pStyle w:val="p1"/>
        <w:spacing w:before="0" w:beforeAutospacing="0" w:after="0" w:afterAutospacing="0" w:line="360" w:lineRule="auto"/>
        <w:ind w:firstLine="709"/>
        <w:jc w:val="right"/>
        <w:rPr>
          <w:rFonts w:eastAsia="Calibri"/>
          <w:sz w:val="28"/>
          <w:szCs w:val="28"/>
        </w:rPr>
      </w:pPr>
      <w:r w:rsidRPr="00A97718">
        <w:rPr>
          <w:rFonts w:eastAsia="Calibri"/>
          <w:sz w:val="28"/>
          <w:szCs w:val="28"/>
        </w:rPr>
        <w:t xml:space="preserve">к.э.н., доцент кафедры УТТР </w:t>
      </w:r>
      <w:proofErr w:type="spellStart"/>
      <w:r w:rsidRPr="00A97718">
        <w:rPr>
          <w:rFonts w:eastAsia="Calibri"/>
          <w:sz w:val="28"/>
          <w:szCs w:val="28"/>
        </w:rPr>
        <w:t>СочиГУ</w:t>
      </w:r>
      <w:proofErr w:type="spellEnd"/>
    </w:p>
    <w:p w14:paraId="720EE37E" w14:textId="77777777" w:rsidR="00A97718" w:rsidRPr="00691353" w:rsidRDefault="00A97718" w:rsidP="00A97718">
      <w:pPr>
        <w:pStyle w:val="p3"/>
        <w:spacing w:before="0" w:beforeAutospacing="0" w:after="0" w:afterAutospacing="0"/>
        <w:ind w:firstLine="709"/>
        <w:rPr>
          <w:bCs/>
          <w:sz w:val="28"/>
          <w:szCs w:val="28"/>
        </w:rPr>
      </w:pPr>
      <w:r w:rsidRPr="00691353">
        <w:rPr>
          <w:b/>
          <w:bCs/>
          <w:sz w:val="28"/>
          <w:szCs w:val="28"/>
        </w:rPr>
        <w:t>Аннотация</w:t>
      </w:r>
    </w:p>
    <w:p w14:paraId="403A53A8" w14:textId="77777777" w:rsidR="00A97718" w:rsidRPr="00691353" w:rsidRDefault="00A97718" w:rsidP="00A97718">
      <w:pPr>
        <w:pStyle w:val="p3"/>
        <w:spacing w:before="0" w:beforeAutospacing="0" w:after="0" w:afterAutospacing="0" w:line="360" w:lineRule="auto"/>
        <w:ind w:firstLine="709"/>
        <w:jc w:val="both"/>
        <w:rPr>
          <w:bCs/>
          <w:sz w:val="28"/>
          <w:szCs w:val="28"/>
        </w:rPr>
      </w:pPr>
      <w:r w:rsidRPr="00691353">
        <w:rPr>
          <w:bCs/>
          <w:sz w:val="28"/>
          <w:szCs w:val="28"/>
        </w:rPr>
        <w:t>В статье рассматриваются актуальные проблемы развития лечебно-оздоровительного туризма как междисциплинарной сферы, находящейся на стыке медицины, экономики и индустрии гостеприимства. Особое внимание уделяется противоречиям между коммерциализацией услуг и необходимостью обеспечения их медицинской обоснованности и безопасности. Анализируются институциональные барьеры, включая несовершенство нормативно-правового регулирования, отсутствие единых стандартов качества и проблемы лицензирования. Отдельно освещаются вопросы кадрового обеспечения, инфраструктурных ограничений и территориальной неравномерности развития санаторно-курортной базы. Подчеркивается влияние цифровизации и глобальной конкуренции на трансформацию рынка лечебно-оздоровительных услуг. В заключение обосновывается необходимость комплексного подхода к модернизации отрасли, предполагающего координацию государственной политики, инвестиционной активности и научно-медицинской экспертизы.</w:t>
      </w:r>
    </w:p>
    <w:p w14:paraId="42F23FE6" w14:textId="06539CEE" w:rsidR="00A97718" w:rsidRDefault="00A97718" w:rsidP="00A97718">
      <w:pPr>
        <w:pStyle w:val="p1"/>
        <w:spacing w:before="0" w:beforeAutospacing="0" w:after="0" w:afterAutospacing="0" w:line="360" w:lineRule="auto"/>
        <w:ind w:firstLine="709"/>
        <w:jc w:val="both"/>
        <w:rPr>
          <w:rFonts w:eastAsia="Calibri"/>
          <w:sz w:val="28"/>
          <w:szCs w:val="28"/>
        </w:rPr>
      </w:pPr>
      <w:r w:rsidRPr="00691353">
        <w:rPr>
          <w:rFonts w:eastAsiaTheme="majorEastAsia"/>
          <w:b/>
          <w:bCs/>
          <w:sz w:val="28"/>
          <w:szCs w:val="28"/>
        </w:rPr>
        <w:t xml:space="preserve">Ключевые слова: </w:t>
      </w:r>
      <w:r w:rsidRPr="00691353">
        <w:rPr>
          <w:rFonts w:eastAsiaTheme="majorEastAsia"/>
          <w:sz w:val="28"/>
          <w:szCs w:val="28"/>
        </w:rPr>
        <w:t>лечебно-оздоровительный туризм, санаторно-курортная деятельность, медицинские услуги, нормативно-правовое регулирование, инфраструктура, стандартизация качества, кадровое обеспечение, устойчивое развитие.</w:t>
      </w:r>
    </w:p>
    <w:p w14:paraId="10BECB10" w14:textId="77777777" w:rsidR="00A97718" w:rsidRDefault="00A97718" w:rsidP="00A97718">
      <w:pPr>
        <w:pStyle w:val="p1"/>
        <w:spacing w:before="0" w:beforeAutospacing="0" w:after="0" w:afterAutospacing="0" w:line="360" w:lineRule="auto"/>
        <w:ind w:firstLine="709"/>
        <w:jc w:val="center"/>
        <w:rPr>
          <w:rFonts w:eastAsia="Calibri"/>
          <w:b/>
          <w:bCs/>
          <w:sz w:val="28"/>
          <w:szCs w:val="28"/>
        </w:rPr>
      </w:pPr>
    </w:p>
    <w:p w14:paraId="2446DCEF" w14:textId="77777777" w:rsidR="00A97718" w:rsidRDefault="00A97718">
      <w:pPr>
        <w:rPr>
          <w:rFonts w:ascii="Times New Roman" w:eastAsia="Calibri" w:hAnsi="Times New Roman" w:cs="Times New Roman"/>
          <w:b/>
          <w:bCs/>
          <w:kern w:val="0"/>
          <w:sz w:val="28"/>
          <w:szCs w:val="28"/>
          <w:lang w:val="en-US" w:eastAsia="ru-RU"/>
        </w:rPr>
      </w:pPr>
      <w:r>
        <w:rPr>
          <w:rFonts w:eastAsia="Calibri"/>
          <w:b/>
          <w:bCs/>
          <w:sz w:val="28"/>
          <w:szCs w:val="28"/>
          <w:lang w:val="en-US"/>
        </w:rPr>
        <w:br w:type="page"/>
      </w:r>
    </w:p>
    <w:p w14:paraId="342B0941" w14:textId="0280DA64" w:rsidR="00A97718" w:rsidRPr="00A97718" w:rsidRDefault="00A97718" w:rsidP="00A97718">
      <w:pPr>
        <w:pStyle w:val="p1"/>
        <w:spacing w:before="0" w:beforeAutospacing="0" w:after="0" w:afterAutospacing="0" w:line="360" w:lineRule="auto"/>
        <w:ind w:firstLine="709"/>
        <w:jc w:val="center"/>
        <w:rPr>
          <w:rFonts w:eastAsia="Calibri"/>
          <w:b/>
          <w:bCs/>
          <w:sz w:val="28"/>
          <w:szCs w:val="28"/>
          <w:lang w:val="en-US"/>
        </w:rPr>
      </w:pPr>
      <w:r w:rsidRPr="00A97718">
        <w:rPr>
          <w:rFonts w:eastAsia="Calibri"/>
          <w:b/>
          <w:bCs/>
          <w:sz w:val="28"/>
          <w:szCs w:val="28"/>
          <w:lang w:val="en-US"/>
        </w:rPr>
        <w:lastRenderedPageBreak/>
        <w:t>PROBLEMS OF MEDICAL AND HEALTH-IMPROVING TOURISM</w:t>
      </w:r>
    </w:p>
    <w:p w14:paraId="42B0BF5E" w14:textId="78A3F3E5" w:rsidR="00691353" w:rsidRPr="00A97718" w:rsidRDefault="00691353" w:rsidP="00A97718">
      <w:pPr>
        <w:pStyle w:val="p1"/>
        <w:spacing w:before="0" w:beforeAutospacing="0" w:after="0" w:afterAutospacing="0" w:line="360" w:lineRule="auto"/>
        <w:ind w:firstLine="709"/>
        <w:jc w:val="right"/>
        <w:rPr>
          <w:rFonts w:eastAsia="Calibri"/>
          <w:b/>
          <w:bCs/>
          <w:sz w:val="28"/>
          <w:szCs w:val="28"/>
        </w:rPr>
      </w:pPr>
      <w:proofErr w:type="spellStart"/>
      <w:r w:rsidRPr="00A97718">
        <w:rPr>
          <w:rFonts w:eastAsia="Calibri"/>
          <w:b/>
          <w:bCs/>
          <w:sz w:val="28"/>
          <w:szCs w:val="28"/>
          <w:lang w:val="en-US"/>
        </w:rPr>
        <w:t>Bazba</w:t>
      </w:r>
      <w:proofErr w:type="spellEnd"/>
      <w:r w:rsidRPr="00A97718">
        <w:rPr>
          <w:rFonts w:eastAsia="Calibri"/>
          <w:b/>
          <w:bCs/>
          <w:sz w:val="28"/>
          <w:szCs w:val="28"/>
          <w:lang w:val="en-US"/>
        </w:rPr>
        <w:t xml:space="preserve"> Inola </w:t>
      </w:r>
      <w:proofErr w:type="spellStart"/>
      <w:r w:rsidRPr="00A97718">
        <w:rPr>
          <w:rFonts w:eastAsia="Calibri"/>
          <w:b/>
          <w:bCs/>
          <w:sz w:val="28"/>
          <w:szCs w:val="28"/>
          <w:lang w:val="en-US"/>
        </w:rPr>
        <w:t>Naliyevna</w:t>
      </w:r>
      <w:proofErr w:type="spellEnd"/>
    </w:p>
    <w:p w14:paraId="08CE09BE" w14:textId="37CDD7C4" w:rsidR="0041186E" w:rsidRPr="00A97718" w:rsidRDefault="0041186E" w:rsidP="00A97718">
      <w:pPr>
        <w:pStyle w:val="p1"/>
        <w:spacing w:before="0" w:beforeAutospacing="0" w:after="0" w:afterAutospacing="0" w:line="360" w:lineRule="auto"/>
        <w:ind w:firstLine="709"/>
        <w:jc w:val="right"/>
        <w:rPr>
          <w:rFonts w:eastAsia="Calibri"/>
          <w:b/>
          <w:bCs/>
          <w:sz w:val="28"/>
          <w:szCs w:val="28"/>
          <w:lang w:val="en-US"/>
        </w:rPr>
      </w:pPr>
      <w:proofErr w:type="spellStart"/>
      <w:r w:rsidRPr="00A97718">
        <w:rPr>
          <w:rFonts w:eastAsia="Calibri"/>
          <w:b/>
          <w:bCs/>
          <w:sz w:val="28"/>
          <w:szCs w:val="28"/>
          <w:lang w:val="en-US"/>
        </w:rPr>
        <w:t>Fisenko</w:t>
      </w:r>
      <w:proofErr w:type="spellEnd"/>
      <w:r w:rsidRPr="00A97718">
        <w:rPr>
          <w:rFonts w:eastAsia="Calibri"/>
          <w:b/>
          <w:bCs/>
          <w:sz w:val="28"/>
          <w:szCs w:val="28"/>
          <w:lang w:val="en-US"/>
        </w:rPr>
        <w:t xml:space="preserve"> Olesya Pavlovna </w:t>
      </w:r>
    </w:p>
    <w:p w14:paraId="7B8E9BE8" w14:textId="77777777" w:rsidR="0041186E" w:rsidRPr="0041186E" w:rsidRDefault="0041186E" w:rsidP="0041186E">
      <w:pPr>
        <w:pStyle w:val="p1"/>
        <w:spacing w:before="0" w:beforeAutospacing="0" w:after="0" w:afterAutospacing="0" w:line="360" w:lineRule="auto"/>
        <w:ind w:firstLine="709"/>
        <w:rPr>
          <w:rFonts w:eastAsia="Calibri"/>
          <w:sz w:val="28"/>
          <w:szCs w:val="28"/>
          <w:lang w:val="en-US"/>
        </w:rPr>
      </w:pPr>
    </w:p>
    <w:p w14:paraId="60F920F7" w14:textId="77777777" w:rsidR="00DE4057" w:rsidRPr="00691353" w:rsidRDefault="00DE4057" w:rsidP="00DE4057">
      <w:pPr>
        <w:pStyle w:val="p3"/>
        <w:spacing w:before="0" w:beforeAutospacing="0" w:after="0" w:afterAutospacing="0" w:line="360" w:lineRule="auto"/>
        <w:ind w:firstLine="709"/>
        <w:jc w:val="both"/>
        <w:rPr>
          <w:b/>
          <w:bCs/>
          <w:sz w:val="28"/>
          <w:szCs w:val="28"/>
          <w:lang w:val="en-US"/>
        </w:rPr>
      </w:pPr>
      <w:r w:rsidRPr="00691353">
        <w:rPr>
          <w:b/>
          <w:bCs/>
          <w:sz w:val="28"/>
          <w:szCs w:val="28"/>
          <w:lang w:val="en-US"/>
        </w:rPr>
        <w:t>Annotation</w:t>
      </w:r>
    </w:p>
    <w:p w14:paraId="507288A8" w14:textId="2C705278" w:rsidR="00DE4057" w:rsidRPr="00691353" w:rsidRDefault="00691353" w:rsidP="00691353">
      <w:pPr>
        <w:pStyle w:val="p3"/>
        <w:spacing w:before="0" w:beforeAutospacing="0" w:after="0" w:afterAutospacing="0" w:line="360" w:lineRule="auto"/>
        <w:ind w:firstLine="709"/>
        <w:jc w:val="both"/>
        <w:rPr>
          <w:bCs/>
          <w:sz w:val="28"/>
          <w:szCs w:val="28"/>
          <w:lang w:val="en-US"/>
        </w:rPr>
      </w:pPr>
      <w:r w:rsidRPr="00691353">
        <w:rPr>
          <w:bCs/>
          <w:sz w:val="28"/>
          <w:szCs w:val="28"/>
          <w:lang w:val="en-US"/>
        </w:rPr>
        <w:t>The article examines the current challenges of health and wellness tourism as an interdisciplinary field situated at the intersection of healthcare, economics, and the hospitality industry. Particular attention is paid to the tension between commercialization and the need to ensure medical validity and safety of services. The study analyzes institutional barriers, including regulatory gaps, the lack of unified quality standards, and licensing issues. It also addresses staffing shortages, infrastructural constraints, and regional disparities in the development of spa and resort facilities. The impact of digitalization and global competition on the transformation of the health tourism market is emphasized. The paper concludes by substantiating the necessity of a comprehensive modernization strategy based on coordinated public policy, investment mechanisms, and scientific-medical expertise</w:t>
      </w:r>
      <w:r w:rsidR="00DE4057" w:rsidRPr="00DE4057">
        <w:rPr>
          <w:bCs/>
          <w:sz w:val="28"/>
          <w:szCs w:val="28"/>
          <w:lang w:val="en-US"/>
        </w:rPr>
        <w:t>.</w:t>
      </w:r>
    </w:p>
    <w:p w14:paraId="54F18892" w14:textId="59434609" w:rsidR="00DE4057" w:rsidRPr="00691353" w:rsidRDefault="00691353" w:rsidP="00691353">
      <w:pPr>
        <w:pStyle w:val="p3"/>
        <w:spacing w:before="0" w:beforeAutospacing="0" w:after="0" w:afterAutospacing="0" w:line="360" w:lineRule="auto"/>
        <w:ind w:firstLine="709"/>
        <w:jc w:val="both"/>
        <w:rPr>
          <w:rFonts w:eastAsiaTheme="majorEastAsia"/>
          <w:sz w:val="28"/>
          <w:szCs w:val="28"/>
          <w:lang w:val="en-US"/>
        </w:rPr>
      </w:pPr>
      <w:r w:rsidRPr="00691353">
        <w:rPr>
          <w:rFonts w:eastAsiaTheme="majorEastAsia"/>
          <w:b/>
          <w:bCs/>
          <w:sz w:val="28"/>
          <w:szCs w:val="28"/>
          <w:lang w:val="en-US"/>
        </w:rPr>
        <w:t>Keywords:</w:t>
      </w:r>
      <w:r w:rsidRPr="00691353">
        <w:rPr>
          <w:rFonts w:eastAsiaTheme="majorEastAsia"/>
          <w:sz w:val="28"/>
          <w:szCs w:val="28"/>
          <w:lang w:val="en-US"/>
        </w:rPr>
        <w:t xml:space="preserve"> health and wellness tourism, spa and resort activities, medical services, legal regulation, infrastructure, quality standards, human resources, sustainable development.</w:t>
      </w:r>
    </w:p>
    <w:p w14:paraId="5E8F1381" w14:textId="24CA762C" w:rsidR="00D63934" w:rsidRPr="00691353" w:rsidRDefault="00D63934" w:rsidP="00407A61">
      <w:pPr>
        <w:pStyle w:val="p4"/>
        <w:spacing w:before="0" w:beforeAutospacing="0" w:after="0" w:afterAutospacing="0" w:line="360" w:lineRule="auto"/>
        <w:ind w:firstLine="709"/>
        <w:jc w:val="both"/>
        <w:rPr>
          <w:sz w:val="28"/>
          <w:szCs w:val="28"/>
          <w:lang w:val="en-US"/>
        </w:rPr>
      </w:pPr>
    </w:p>
    <w:p w14:paraId="5190B8B5" w14:textId="46BE69E2" w:rsidR="00691353" w:rsidRPr="00691353" w:rsidRDefault="00691353" w:rsidP="00691353">
      <w:pPr>
        <w:pStyle w:val="p3"/>
        <w:spacing w:before="0" w:beforeAutospacing="0" w:after="0" w:afterAutospacing="0" w:line="360" w:lineRule="auto"/>
        <w:ind w:firstLine="709"/>
        <w:jc w:val="both"/>
        <w:rPr>
          <w:sz w:val="28"/>
          <w:szCs w:val="28"/>
        </w:rPr>
      </w:pPr>
      <w:r w:rsidRPr="00691353">
        <w:rPr>
          <w:sz w:val="28"/>
          <w:szCs w:val="28"/>
        </w:rPr>
        <w:t xml:space="preserve">Лечебно-оздоровительный туризм в последние десятилетия превратился из нишевого сегмента санаторно-курортной деятельности в динамично развивающийся межотраслевой комплекс, объединяющий медицинские технологии, рекреационные ресурсы и сервисную инфраструктуру. Однако за внешней привлекательностью и устойчивым спросом скрывается целый спектр противоречий, которые сдерживают его качественную эволюцию. Парадокс заключается в том, что чем активнее растет интерес к программам восстановления здоровья, тем острее проявляются структурные дисбалансы отрасли. </w:t>
      </w:r>
    </w:p>
    <w:p w14:paraId="77784C28" w14:textId="71195FFF" w:rsidR="00A97718" w:rsidRPr="00A97718" w:rsidRDefault="00691353" w:rsidP="00691353">
      <w:pPr>
        <w:pStyle w:val="p3"/>
        <w:spacing w:before="0" w:beforeAutospacing="0" w:after="0" w:afterAutospacing="0" w:line="360" w:lineRule="auto"/>
        <w:ind w:firstLine="709"/>
        <w:jc w:val="both"/>
        <w:rPr>
          <w:sz w:val="28"/>
          <w:szCs w:val="28"/>
        </w:rPr>
      </w:pPr>
      <w:r w:rsidRPr="00691353">
        <w:rPr>
          <w:sz w:val="28"/>
          <w:szCs w:val="28"/>
        </w:rPr>
        <w:lastRenderedPageBreak/>
        <w:t xml:space="preserve">Прежде всего обращает на себя внимание неоднородность нормативно-правовой базы, регулирующей данный сектор. С одной стороны, медицинская составляющая подчиняется строгим требованиям лицензирования, стандартам оказания помощи и профессиональной ответственности. С другой </w:t>
      </w:r>
      <w:r>
        <w:rPr>
          <w:sz w:val="28"/>
          <w:szCs w:val="28"/>
        </w:rPr>
        <w:t>–</w:t>
      </w:r>
      <w:r w:rsidRPr="00691353">
        <w:rPr>
          <w:sz w:val="28"/>
          <w:szCs w:val="28"/>
        </w:rPr>
        <w:t xml:space="preserve"> туристская деятельность ориентирована на рыночные механизмы, гибкость предложений и маркетинговые стратегии</w:t>
      </w:r>
      <w:r w:rsidR="00A97718" w:rsidRPr="00A97718">
        <w:rPr>
          <w:sz w:val="28"/>
          <w:szCs w:val="28"/>
        </w:rPr>
        <w:t xml:space="preserve"> </w:t>
      </w:r>
      <w:r w:rsidR="00A97718" w:rsidRPr="00A97718">
        <w:rPr>
          <w:sz w:val="28"/>
          <w:szCs w:val="28"/>
        </w:rPr>
        <w:t>[</w:t>
      </w:r>
      <w:r w:rsidR="00A97718" w:rsidRPr="00A97718">
        <w:rPr>
          <w:sz w:val="28"/>
          <w:szCs w:val="28"/>
        </w:rPr>
        <w:t>4</w:t>
      </w:r>
      <w:r w:rsidR="00A97718">
        <w:rPr>
          <w:sz w:val="28"/>
          <w:szCs w:val="28"/>
        </w:rPr>
        <w:t xml:space="preserve">, с. </w:t>
      </w:r>
      <w:r w:rsidR="00A97718" w:rsidRPr="00A97718">
        <w:rPr>
          <w:sz w:val="28"/>
          <w:szCs w:val="28"/>
        </w:rPr>
        <w:t>400</w:t>
      </w:r>
      <w:r w:rsidR="00A97718" w:rsidRPr="00A97718">
        <w:rPr>
          <w:sz w:val="28"/>
          <w:szCs w:val="28"/>
        </w:rPr>
        <w:t>]</w:t>
      </w:r>
      <w:r w:rsidR="00A97718" w:rsidRPr="00691353">
        <w:rPr>
          <w:sz w:val="28"/>
          <w:szCs w:val="28"/>
        </w:rPr>
        <w:t>.</w:t>
      </w:r>
      <w:r w:rsidR="00A97718">
        <w:rPr>
          <w:sz w:val="28"/>
          <w:szCs w:val="28"/>
        </w:rPr>
        <w:t xml:space="preserve"> </w:t>
      </w:r>
      <w:r w:rsidRPr="00691353">
        <w:rPr>
          <w:sz w:val="28"/>
          <w:szCs w:val="28"/>
        </w:rPr>
        <w:t xml:space="preserve"> </w:t>
      </w:r>
    </w:p>
    <w:p w14:paraId="13E09155" w14:textId="545261A1" w:rsidR="00691353" w:rsidRPr="00691353" w:rsidRDefault="00691353" w:rsidP="00691353">
      <w:pPr>
        <w:pStyle w:val="p3"/>
        <w:spacing w:before="0" w:beforeAutospacing="0" w:after="0" w:afterAutospacing="0" w:line="360" w:lineRule="auto"/>
        <w:ind w:firstLine="709"/>
        <w:jc w:val="both"/>
        <w:rPr>
          <w:sz w:val="28"/>
          <w:szCs w:val="28"/>
        </w:rPr>
      </w:pPr>
      <w:r w:rsidRPr="00691353">
        <w:rPr>
          <w:sz w:val="28"/>
          <w:szCs w:val="28"/>
        </w:rPr>
        <w:t>На стыке этих двух логик возникает зона неопределенности: далеко не все услуги, позиционируемые как лечебные или профилактические, имеют четко определенный статус. В данном контексте нам представляется, что проблема кроется не столько в отсутствии регламентации, сколько в фрагментарности правового поля, где нормы разных отраслей права сосуществуют без должной координации. Такая разобщенность создает риски как для потребителей, так и для самих операторов рынка</w:t>
      </w:r>
      <w:r w:rsidR="00A97718">
        <w:rPr>
          <w:sz w:val="28"/>
          <w:szCs w:val="28"/>
        </w:rPr>
        <w:t xml:space="preserve"> </w:t>
      </w:r>
      <w:r w:rsidR="00A97718" w:rsidRPr="00A97718">
        <w:rPr>
          <w:sz w:val="28"/>
          <w:szCs w:val="28"/>
        </w:rPr>
        <w:t>[</w:t>
      </w:r>
      <w:r w:rsidR="00A97718">
        <w:rPr>
          <w:sz w:val="28"/>
          <w:szCs w:val="28"/>
        </w:rPr>
        <w:t>2, с. 74</w:t>
      </w:r>
      <w:r w:rsidR="00A97718" w:rsidRPr="00A97718">
        <w:rPr>
          <w:sz w:val="28"/>
          <w:szCs w:val="28"/>
        </w:rPr>
        <w:t>]</w:t>
      </w:r>
      <w:r w:rsidRPr="00691353">
        <w:rPr>
          <w:sz w:val="28"/>
          <w:szCs w:val="28"/>
        </w:rPr>
        <w:t>.</w:t>
      </w:r>
      <w:r w:rsidR="00A97718">
        <w:rPr>
          <w:sz w:val="28"/>
          <w:szCs w:val="28"/>
        </w:rPr>
        <w:t xml:space="preserve"> </w:t>
      </w:r>
    </w:p>
    <w:p w14:paraId="48E4EB7C" w14:textId="4DA6BA0E" w:rsidR="00691353" w:rsidRPr="00691353" w:rsidRDefault="00691353" w:rsidP="00691353">
      <w:pPr>
        <w:pStyle w:val="p3"/>
        <w:spacing w:before="0" w:beforeAutospacing="0" w:after="0" w:afterAutospacing="0" w:line="360" w:lineRule="auto"/>
        <w:ind w:firstLine="709"/>
        <w:jc w:val="both"/>
        <w:rPr>
          <w:sz w:val="28"/>
          <w:szCs w:val="28"/>
        </w:rPr>
      </w:pPr>
      <w:r w:rsidRPr="00691353">
        <w:rPr>
          <w:sz w:val="28"/>
          <w:szCs w:val="28"/>
        </w:rPr>
        <w:t xml:space="preserve">Отдельного анализа заслуживает территориальная дифференциация развития лечебно-оздоровительного туризма. Природно-климатические ресурсы распределены неравномерно, что объективно формирует центры притяжения и периферийные зоны. Однако проблема заключается не только в географической специфике, но и в различиях региональной политики. Там, где местные власти интегрируют санаторно-курортный комплекс в стратегию социально-экономического развития, наблюдается устойчивый рост и формирование конкурентных преимуществ. В иных случаях потенциал остается латентным, не превращаясь в реальный ресурс. </w:t>
      </w:r>
    </w:p>
    <w:p w14:paraId="32CD27C4" w14:textId="54B58F96" w:rsidR="00691353" w:rsidRPr="00A97718" w:rsidRDefault="00691353" w:rsidP="00691353">
      <w:pPr>
        <w:pStyle w:val="p3"/>
        <w:spacing w:before="0" w:beforeAutospacing="0" w:after="0" w:afterAutospacing="0" w:line="360" w:lineRule="auto"/>
        <w:ind w:firstLine="709"/>
        <w:jc w:val="both"/>
        <w:rPr>
          <w:sz w:val="28"/>
          <w:szCs w:val="28"/>
        </w:rPr>
      </w:pPr>
      <w:r w:rsidRPr="00691353">
        <w:rPr>
          <w:sz w:val="28"/>
          <w:szCs w:val="28"/>
        </w:rPr>
        <w:t xml:space="preserve">Нельзя обойти вниманием и вопрос коммерциализации услуг. Современный потребитель ориентирован на быстрый результат, комфорт и эстетическую составляющую. Это стимулирует внедрение новых форматов </w:t>
      </w:r>
      <w:r>
        <w:rPr>
          <w:sz w:val="28"/>
          <w:szCs w:val="28"/>
        </w:rPr>
        <w:t>–</w:t>
      </w:r>
      <w:r w:rsidRPr="00691353">
        <w:rPr>
          <w:sz w:val="28"/>
          <w:szCs w:val="28"/>
        </w:rPr>
        <w:t xml:space="preserve"> спа-программ, детокс-туров, антистрессовых практик. Однако чрезмерная ориентация на маркетинговую привлекательность способна нивелировать медицинскую сущность предлагаемых процедур. В данном контексте нам представляется важным соблюдение баланса между экономической целесообразностью и клинической обоснованностью. Иначе отрасль рискует </w:t>
      </w:r>
      <w:r w:rsidRPr="00691353">
        <w:rPr>
          <w:sz w:val="28"/>
          <w:szCs w:val="28"/>
        </w:rPr>
        <w:lastRenderedPageBreak/>
        <w:t xml:space="preserve">трансформироваться в индустрию развлечений с элементами </w:t>
      </w:r>
      <w:proofErr w:type="spellStart"/>
      <w:r w:rsidRPr="00691353">
        <w:rPr>
          <w:sz w:val="28"/>
          <w:szCs w:val="28"/>
        </w:rPr>
        <w:t>псевдотерапии</w:t>
      </w:r>
      <w:proofErr w:type="spellEnd"/>
      <w:r w:rsidR="00A97718">
        <w:rPr>
          <w:sz w:val="28"/>
          <w:szCs w:val="28"/>
        </w:rPr>
        <w:t xml:space="preserve"> </w:t>
      </w:r>
      <w:r w:rsidR="00A97718" w:rsidRPr="00A97718">
        <w:rPr>
          <w:sz w:val="28"/>
          <w:szCs w:val="28"/>
        </w:rPr>
        <w:t>[</w:t>
      </w:r>
      <w:r w:rsidR="00A97718" w:rsidRPr="00A97718">
        <w:rPr>
          <w:sz w:val="28"/>
          <w:szCs w:val="28"/>
        </w:rPr>
        <w:t>3</w:t>
      </w:r>
      <w:r w:rsidR="00A97718">
        <w:rPr>
          <w:sz w:val="28"/>
          <w:szCs w:val="28"/>
        </w:rPr>
        <w:t xml:space="preserve">, с. </w:t>
      </w:r>
      <w:r w:rsidR="00A97718" w:rsidRPr="00A97718">
        <w:rPr>
          <w:sz w:val="28"/>
          <w:szCs w:val="28"/>
        </w:rPr>
        <w:t>28</w:t>
      </w:r>
      <w:r w:rsidR="00A97718" w:rsidRPr="00A97718">
        <w:rPr>
          <w:sz w:val="28"/>
          <w:szCs w:val="28"/>
        </w:rPr>
        <w:t>]</w:t>
      </w:r>
      <w:r w:rsidR="00A97718" w:rsidRPr="00691353">
        <w:rPr>
          <w:sz w:val="28"/>
          <w:szCs w:val="28"/>
        </w:rPr>
        <w:t>.</w:t>
      </w:r>
    </w:p>
    <w:p w14:paraId="4164E58F" w14:textId="34DE4D37"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Согласно данным Федерального агентства по туризму, количество поездок с целью оздоровления, зарегистрированных в 2024 году, составило порядка 1,7–1,8 млн человек, что на 12–15 % выше уровня 2023 года. В 2025 году темп роста сохраняется, и предварительные оценки показывают объём примерно 2,0 млн человек. Такой рост стимулирует развитие отрасли, однако уровни удовлетворенности услугами остаются на среднем уровне: опросы потребителей, проведённые в 2024–2025 годах, фиксируют, что порядка 34–38% участников считают качество медицинской составляющей ниже ожидаемого уровня. Это указывает на структурный разрыв между ожиданиями клиентов и реальным качеством оздоровительных программ.</w:t>
      </w:r>
    </w:p>
    <w:p w14:paraId="7675DEDA" w14:textId="5803E2E5"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На рисунке 1 отражено динамика количества туристов ЛОТ (2024–2025 гг.)</w:t>
      </w:r>
      <w:r>
        <w:rPr>
          <w:sz w:val="28"/>
          <w:szCs w:val="28"/>
        </w:rPr>
        <w:t>.</w:t>
      </w:r>
    </w:p>
    <w:p w14:paraId="052BB95D" w14:textId="77777777" w:rsidR="008D5DFE" w:rsidRDefault="008D5DFE" w:rsidP="008D5DFE">
      <w:pPr>
        <w:pStyle w:val="p3"/>
        <w:spacing w:before="0" w:beforeAutospacing="0" w:after="0" w:afterAutospacing="0" w:line="360" w:lineRule="auto"/>
        <w:jc w:val="center"/>
        <w:rPr>
          <w:sz w:val="28"/>
          <w:szCs w:val="28"/>
        </w:rPr>
      </w:pPr>
      <w:r>
        <w:rPr>
          <w:noProof/>
          <w:sz w:val="28"/>
          <w:szCs w:val="28"/>
        </w:rPr>
        <w:drawing>
          <wp:inline distT="0" distB="0" distL="0" distR="0" wp14:anchorId="59267CE0" wp14:editId="37EB6AE8">
            <wp:extent cx="5486400" cy="3200400"/>
            <wp:effectExtent l="0" t="0" r="0" b="0"/>
            <wp:docPr id="201809945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F93EFD5" w14:textId="48A40941" w:rsidR="008D5DFE" w:rsidRDefault="008D5DFE" w:rsidP="008D5DFE">
      <w:pPr>
        <w:pStyle w:val="p3"/>
        <w:spacing w:before="0" w:beforeAutospacing="0" w:after="0" w:afterAutospacing="0" w:line="360" w:lineRule="auto"/>
        <w:jc w:val="center"/>
        <w:rPr>
          <w:sz w:val="28"/>
          <w:szCs w:val="28"/>
        </w:rPr>
      </w:pPr>
      <w:r>
        <w:rPr>
          <w:sz w:val="28"/>
          <w:szCs w:val="28"/>
        </w:rPr>
        <w:t>Рисунок 1. Д</w:t>
      </w:r>
      <w:r w:rsidRPr="008D5DFE">
        <w:rPr>
          <w:sz w:val="28"/>
          <w:szCs w:val="28"/>
        </w:rPr>
        <w:t>инамика количества туристов ЛОТ (2024–2025 гг.)</w:t>
      </w:r>
    </w:p>
    <w:p w14:paraId="0D65F483" w14:textId="7653BAA1" w:rsidR="008D5DFE" w:rsidRP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За 2025 год наблюдается рост числа туристов в лечебно</w:t>
      </w:r>
      <w:r w:rsidRPr="008D5DFE">
        <w:rPr>
          <w:sz w:val="28"/>
          <w:szCs w:val="28"/>
        </w:rPr>
        <w:noBreakHyphen/>
        <w:t>оздоровительные учреждения примерно на 14%, что свидетельствует о повышении интереса к оздоровительным программам и увеличении спроса на медицинский туризм.</w:t>
      </w:r>
    </w:p>
    <w:p w14:paraId="3B2A294F" w14:textId="25D16EEA"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lastRenderedPageBreak/>
        <w:t>Следующей проблемой является разрыв в уровне развития региональной инфраструктуры. Статистические данные Министерства экономического развития показывают, что в 2024–2025 годах менее 40 % курортных организаций соответствуют требованиям современной медицинской сертификации, что препятствует повышению конкурентоспособности на внутреннем и международном рынке. В то же время в ведущих центрах оздоровления – таких как Кавказские Минеральные Воды, Белокуриха и Крым – доля учреждений с современным оборудованием превышает 65%, что создаёт территориальное неравенство в доступе к качественным услугам ЛОТ.</w:t>
      </w:r>
    </w:p>
    <w:p w14:paraId="14D1DA8D" w14:textId="7F8C0BC1"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 xml:space="preserve">На рисунке 2 отражена </w:t>
      </w:r>
      <w:r>
        <w:rPr>
          <w:sz w:val="28"/>
          <w:szCs w:val="28"/>
        </w:rPr>
        <w:t>д</w:t>
      </w:r>
      <w:r w:rsidRPr="008D5DFE">
        <w:rPr>
          <w:sz w:val="28"/>
          <w:szCs w:val="28"/>
        </w:rPr>
        <w:t>оля учреждений с современными технологиями и сертификацией</w:t>
      </w:r>
      <w:r>
        <w:rPr>
          <w:sz w:val="28"/>
          <w:szCs w:val="28"/>
        </w:rPr>
        <w:t>.</w:t>
      </w:r>
    </w:p>
    <w:p w14:paraId="2D8972D6" w14:textId="6C9EEFFB" w:rsidR="008D5DFE" w:rsidRDefault="008D5DFE" w:rsidP="008D5DFE">
      <w:pPr>
        <w:pStyle w:val="p3"/>
        <w:spacing w:before="0" w:beforeAutospacing="0" w:after="0" w:afterAutospacing="0" w:line="360" w:lineRule="auto"/>
        <w:ind w:firstLine="709"/>
        <w:jc w:val="both"/>
        <w:rPr>
          <w:sz w:val="28"/>
          <w:szCs w:val="28"/>
        </w:rPr>
      </w:pPr>
      <w:r>
        <w:rPr>
          <w:noProof/>
          <w:sz w:val="28"/>
          <w:szCs w:val="28"/>
        </w:rPr>
        <w:drawing>
          <wp:inline distT="0" distB="0" distL="0" distR="0" wp14:anchorId="286961A0" wp14:editId="59E6938F">
            <wp:extent cx="5486400" cy="3200400"/>
            <wp:effectExtent l="0" t="0" r="0" b="0"/>
            <wp:docPr id="139795113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9184443" w14:textId="48BD1F40" w:rsidR="008D5DFE" w:rsidRDefault="008D5DFE" w:rsidP="008D5DFE">
      <w:pPr>
        <w:pStyle w:val="p3"/>
        <w:spacing w:before="0" w:beforeAutospacing="0" w:after="0" w:afterAutospacing="0" w:line="360" w:lineRule="auto"/>
        <w:ind w:firstLine="709"/>
        <w:jc w:val="center"/>
        <w:rPr>
          <w:sz w:val="28"/>
          <w:szCs w:val="28"/>
        </w:rPr>
      </w:pPr>
      <w:r>
        <w:rPr>
          <w:sz w:val="28"/>
          <w:szCs w:val="28"/>
        </w:rPr>
        <w:t xml:space="preserve">Рисунок 2. </w:t>
      </w:r>
      <w:r w:rsidRPr="008D5DFE">
        <w:rPr>
          <w:sz w:val="28"/>
          <w:szCs w:val="28"/>
        </w:rPr>
        <w:t>Доля учреждений с современными технологиями и сертификацией</w:t>
      </w:r>
      <w:r>
        <w:rPr>
          <w:sz w:val="28"/>
          <w:szCs w:val="28"/>
        </w:rPr>
        <w:t>.</w:t>
      </w:r>
    </w:p>
    <w:p w14:paraId="0D628E68" w14:textId="7382C936"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Несмотря на небольшое увеличение доли сертифицированных и оснащенных учреждений, отрасль сохраняет проблемы стандартизации и технологической оснащенности. Внедрение цифровых сервисов растет, но неравномерно, что влияет на качество обслуживания.</w:t>
      </w:r>
    </w:p>
    <w:p w14:paraId="677C69B4" w14:textId="7DB7C08B" w:rsidR="008D5DFE" w:rsidRP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 xml:space="preserve">Третья проблемная область – информационная открытость и прозрачность. Исследование Росстата за 2025 год показало, что более 42 % </w:t>
      </w:r>
      <w:r w:rsidRPr="008D5DFE">
        <w:rPr>
          <w:sz w:val="28"/>
          <w:szCs w:val="28"/>
        </w:rPr>
        <w:lastRenderedPageBreak/>
        <w:t>потребителей испытывали затруднения с получением достоверной информации о составе лечебных программ, противопоказаниях и результатах оздоровительных процедур. В цифровую эпоху, когда туристские услуги становятся всё более предметом онлайн</w:t>
      </w:r>
      <w:r w:rsidRPr="008D5DFE">
        <w:rPr>
          <w:sz w:val="28"/>
          <w:szCs w:val="28"/>
        </w:rPr>
        <w:noBreakHyphen/>
        <w:t>анализа, подобный дефицит информации подрывает доверие к отрасли и усугубляет риски ошибочного выбора со стороны клиентов.</w:t>
      </w:r>
    </w:p>
    <w:p w14:paraId="2AF01202" w14:textId="77777777" w:rsidR="008D5DFE" w:rsidRP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Кроме того, вызывает обеспокоенность неравномерное внедрение современных цифровых технологий в работу объектов ЛОТ. По данным отраслевого мониторинга, только около 47 % оздоровительных учреждений в 2025 году применяют электронные системы онлайн</w:t>
      </w:r>
      <w:r w:rsidRPr="008D5DFE">
        <w:rPr>
          <w:sz w:val="28"/>
          <w:szCs w:val="28"/>
        </w:rPr>
        <w:noBreakHyphen/>
        <w:t>регистрации, ведения медицинских карт и телемедицинского сопровождения пациентов. Это ограничивает потенциал интеграции лечебно</w:t>
      </w:r>
      <w:r w:rsidRPr="008D5DFE">
        <w:rPr>
          <w:sz w:val="28"/>
          <w:szCs w:val="28"/>
        </w:rPr>
        <w:noBreakHyphen/>
        <w:t>оздоровительных услуг в цифровую экосистему здравоохранения, тогда как потребители всё чаще ожидают удобства онлайн</w:t>
      </w:r>
      <w:r w:rsidRPr="008D5DFE">
        <w:rPr>
          <w:sz w:val="28"/>
          <w:szCs w:val="28"/>
        </w:rPr>
        <w:noBreakHyphen/>
        <w:t>сервисов и удалённого мониторинга здоровья.</w:t>
      </w:r>
    </w:p>
    <w:p w14:paraId="71F7F280" w14:textId="0444EBB5"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Важнейшей проблемой остаётся правовое регулирование и стандартизация. В 2024–2025 годах лишь часть субнациональных нормативных актов содержали детализированные требования к ЛОТ, включая обязательные элементы медицинской сертификации, безопасность процедур и квалификацию персонала. Отсутствие единого федерального стандарта затрудняет развитие отрасли как единого сектора экономики и создаёт правовые риски как для поставщиков услуг, так и для потребителей.</w:t>
      </w:r>
    </w:p>
    <w:p w14:paraId="6FF9CFF1" w14:textId="70BA05DA"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На рисунке 3 отражены проблемы доступа и транспорта туристов ЛОТ</w:t>
      </w:r>
      <w:r>
        <w:rPr>
          <w:sz w:val="28"/>
          <w:szCs w:val="28"/>
        </w:rPr>
        <w:t>.</w:t>
      </w:r>
    </w:p>
    <w:p w14:paraId="51928C4E" w14:textId="4ABFE8AE" w:rsidR="008D5DFE" w:rsidRPr="008D5DFE" w:rsidRDefault="008D5DFE" w:rsidP="008D5DFE">
      <w:pPr>
        <w:pStyle w:val="p3"/>
        <w:spacing w:before="0" w:beforeAutospacing="0" w:after="0" w:afterAutospacing="0" w:line="360" w:lineRule="auto"/>
        <w:ind w:firstLine="709"/>
        <w:jc w:val="both"/>
        <w:rPr>
          <w:sz w:val="28"/>
          <w:szCs w:val="28"/>
        </w:rPr>
      </w:pPr>
      <w:r>
        <w:rPr>
          <w:noProof/>
          <w:sz w:val="28"/>
          <w:szCs w:val="28"/>
        </w:rPr>
        <w:lastRenderedPageBreak/>
        <w:drawing>
          <wp:inline distT="0" distB="0" distL="0" distR="0" wp14:anchorId="3F4E3F3E" wp14:editId="4AE862CF">
            <wp:extent cx="5486400" cy="2782389"/>
            <wp:effectExtent l="0" t="0" r="0" b="0"/>
            <wp:docPr id="206323423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D8BB70" w14:textId="4DC9A4F8" w:rsidR="008D5DFE" w:rsidRDefault="008D5DFE" w:rsidP="008D5DFE">
      <w:pPr>
        <w:pStyle w:val="p3"/>
        <w:spacing w:before="0" w:beforeAutospacing="0" w:after="0" w:afterAutospacing="0" w:line="360" w:lineRule="auto"/>
        <w:ind w:firstLine="709"/>
        <w:jc w:val="center"/>
        <w:rPr>
          <w:sz w:val="28"/>
          <w:szCs w:val="28"/>
        </w:rPr>
      </w:pPr>
      <w:r>
        <w:rPr>
          <w:sz w:val="28"/>
          <w:szCs w:val="28"/>
        </w:rPr>
        <w:t>Рисунок 3. П</w:t>
      </w:r>
      <w:r w:rsidRPr="008D5DFE">
        <w:rPr>
          <w:sz w:val="28"/>
          <w:szCs w:val="28"/>
        </w:rPr>
        <w:t>роблемы доступа и транспорта туристов ЛОТ</w:t>
      </w:r>
    </w:p>
    <w:p w14:paraId="6DB6B9E6" w14:textId="024B349A" w:rsid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Проблемы прозрачности информации о лечебно</w:t>
      </w:r>
      <w:r w:rsidRPr="008D5DFE">
        <w:rPr>
          <w:sz w:val="28"/>
          <w:szCs w:val="28"/>
        </w:rPr>
        <w:noBreakHyphen/>
        <w:t>оздоровительных услугах остаются стабильными, что затрудняет выбор оптимальных программ. Рост числа туристов на личном транспорте указывает на зависимость отрасли от сезонных и транспортных факторов, что требует улучшения логистики и инфраструктуры.</w:t>
      </w:r>
    </w:p>
    <w:p w14:paraId="501F1ACD" w14:textId="219BB68B" w:rsidR="008D5DFE" w:rsidRPr="008D5DFE" w:rsidRDefault="008D5DFE" w:rsidP="008D5DFE">
      <w:pPr>
        <w:pStyle w:val="p3"/>
        <w:spacing w:before="0" w:beforeAutospacing="0" w:after="0" w:afterAutospacing="0" w:line="360" w:lineRule="auto"/>
        <w:ind w:firstLine="709"/>
        <w:jc w:val="both"/>
        <w:rPr>
          <w:sz w:val="28"/>
          <w:szCs w:val="28"/>
        </w:rPr>
      </w:pPr>
      <w:r w:rsidRPr="008D5DFE">
        <w:rPr>
          <w:sz w:val="28"/>
          <w:szCs w:val="28"/>
        </w:rPr>
        <w:t>Стоит также отметить экономическую уязвимость отрасли, проявляющуюся в сезонности спроса и зависимости от транспортной доступности регионов. Статистика транспортных потоков за 2025 год показывает, что около 58% клиентов курортов приезжают на личном транспорте, что ограничивает доступ для жителей отдалённых регионов и стимулирует концентрацию ресурсов вблизи крупных транспортных узлов. В итоге многие перспективные оздоровительные центры, особенно в частных инициативах, остаются недозагруженными и испытывают трудности с поддержанием инвестиций в модернизацию инфраструктуры.</w:t>
      </w:r>
    </w:p>
    <w:p w14:paraId="7AF99EA4" w14:textId="3FB29758" w:rsidR="00691353" w:rsidRPr="008D5DFE" w:rsidRDefault="00691353" w:rsidP="00691353">
      <w:pPr>
        <w:pStyle w:val="p3"/>
        <w:spacing w:before="0" w:beforeAutospacing="0" w:after="0" w:afterAutospacing="0" w:line="360" w:lineRule="auto"/>
        <w:ind w:firstLine="709"/>
        <w:jc w:val="both"/>
        <w:rPr>
          <w:sz w:val="28"/>
          <w:szCs w:val="28"/>
        </w:rPr>
      </w:pPr>
    </w:p>
    <w:p w14:paraId="60C02A1D" w14:textId="77777777" w:rsidR="00E9552F" w:rsidRDefault="00E9552F">
      <w:pPr>
        <w:rPr>
          <w:rFonts w:ascii="Times New Roman" w:eastAsia="Times New Roman" w:hAnsi="Times New Roman" w:cs="Times New Roman"/>
          <w:kern w:val="0"/>
          <w:sz w:val="28"/>
          <w:szCs w:val="28"/>
          <w:lang w:eastAsia="ru-RU"/>
        </w:rPr>
      </w:pPr>
      <w:r>
        <w:rPr>
          <w:sz w:val="28"/>
          <w:szCs w:val="28"/>
        </w:rPr>
        <w:br w:type="page"/>
      </w:r>
    </w:p>
    <w:p w14:paraId="471C83CF" w14:textId="13EF3075" w:rsidR="00D63934" w:rsidRDefault="00E9552F" w:rsidP="00A97718">
      <w:pPr>
        <w:pStyle w:val="p3"/>
        <w:spacing w:before="0" w:beforeAutospacing="0" w:after="0" w:afterAutospacing="0" w:line="360" w:lineRule="auto"/>
        <w:ind w:firstLine="709"/>
        <w:jc w:val="center"/>
        <w:rPr>
          <w:b/>
          <w:sz w:val="28"/>
          <w:szCs w:val="28"/>
        </w:rPr>
      </w:pPr>
      <w:r>
        <w:rPr>
          <w:b/>
          <w:sz w:val="28"/>
          <w:szCs w:val="28"/>
        </w:rPr>
        <w:lastRenderedPageBreak/>
        <w:t>Список литератур</w:t>
      </w:r>
      <w:r w:rsidR="00A97718">
        <w:rPr>
          <w:b/>
          <w:sz w:val="28"/>
          <w:szCs w:val="28"/>
        </w:rPr>
        <w:t>ы</w:t>
      </w:r>
      <w:r>
        <w:rPr>
          <w:b/>
          <w:sz w:val="28"/>
          <w:szCs w:val="28"/>
        </w:rPr>
        <w:t>:</w:t>
      </w:r>
    </w:p>
    <w:p w14:paraId="0BD7DFBA" w14:textId="7B7C1115" w:rsidR="007D2383" w:rsidRDefault="00A97718" w:rsidP="00691353">
      <w:pPr>
        <w:pStyle w:val="p3"/>
        <w:spacing w:before="0" w:beforeAutospacing="0" w:after="0" w:afterAutospacing="0" w:line="360" w:lineRule="auto"/>
        <w:ind w:firstLine="709"/>
        <w:jc w:val="both"/>
        <w:rPr>
          <w:sz w:val="28"/>
          <w:szCs w:val="28"/>
        </w:rPr>
      </w:pPr>
      <w:r w:rsidRPr="00A97718">
        <w:rPr>
          <w:sz w:val="28"/>
          <w:szCs w:val="28"/>
        </w:rPr>
        <w:t>1</w:t>
      </w:r>
      <w:r w:rsidR="007D2383">
        <w:rPr>
          <w:sz w:val="28"/>
          <w:szCs w:val="28"/>
        </w:rPr>
        <w:t xml:space="preserve">. </w:t>
      </w:r>
      <w:r w:rsidR="007D2383" w:rsidRPr="007D2383">
        <w:rPr>
          <w:sz w:val="28"/>
          <w:szCs w:val="28"/>
        </w:rPr>
        <w:t xml:space="preserve">Зимина А. С. Стратегия развития лечебно-оздоровительного туризма в Краснодарском крае // Актуальные проблемы развития сферы </w:t>
      </w:r>
      <w:proofErr w:type="gramStart"/>
      <w:r w:rsidR="007D2383" w:rsidRPr="007D2383">
        <w:rPr>
          <w:sz w:val="28"/>
          <w:szCs w:val="28"/>
        </w:rPr>
        <w:t>услуг :</w:t>
      </w:r>
      <w:proofErr w:type="gramEnd"/>
      <w:r w:rsidR="007D2383" w:rsidRPr="007D2383">
        <w:rPr>
          <w:sz w:val="28"/>
          <w:szCs w:val="28"/>
        </w:rPr>
        <w:t xml:space="preserve"> сборник научных трудов. Том Выпуск XV. Санкт-</w:t>
      </w:r>
      <w:proofErr w:type="gramStart"/>
      <w:r w:rsidR="007D2383" w:rsidRPr="007D2383">
        <w:rPr>
          <w:sz w:val="28"/>
          <w:szCs w:val="28"/>
        </w:rPr>
        <w:t>Петербург :</w:t>
      </w:r>
      <w:proofErr w:type="gramEnd"/>
      <w:r w:rsidR="007D2383" w:rsidRPr="007D2383">
        <w:rPr>
          <w:sz w:val="28"/>
          <w:szCs w:val="28"/>
        </w:rPr>
        <w:t xml:space="preserve"> Санкт-Петербургский государственный экономический университет, 2021. С. 74-81.</w:t>
      </w:r>
    </w:p>
    <w:p w14:paraId="33DC396B" w14:textId="1036D5DF" w:rsidR="00691353" w:rsidRDefault="00A97718" w:rsidP="00691353">
      <w:pPr>
        <w:pStyle w:val="p3"/>
        <w:spacing w:before="0" w:beforeAutospacing="0" w:after="0" w:afterAutospacing="0" w:line="360" w:lineRule="auto"/>
        <w:ind w:firstLine="709"/>
        <w:jc w:val="both"/>
        <w:rPr>
          <w:sz w:val="28"/>
          <w:szCs w:val="28"/>
        </w:rPr>
      </w:pPr>
      <w:r w:rsidRPr="00A97718">
        <w:rPr>
          <w:sz w:val="28"/>
          <w:szCs w:val="28"/>
        </w:rPr>
        <w:t>2</w:t>
      </w:r>
      <w:r w:rsidR="007D2383">
        <w:rPr>
          <w:sz w:val="28"/>
          <w:szCs w:val="28"/>
        </w:rPr>
        <w:t xml:space="preserve">. </w:t>
      </w:r>
      <w:r w:rsidR="007D2383" w:rsidRPr="007D2383">
        <w:rPr>
          <w:sz w:val="28"/>
          <w:szCs w:val="28"/>
        </w:rPr>
        <w:t>Мальцева Ю. А. Лечебно-оздоровительный туризм: оценка проблем развития санаторно-курортного комплекса поставщиками услуг / Ю. А. Мальцева, В. Г. Климин // Экономические и гуманитарные науки. 2025. № 8(403). С. 28-39.</w:t>
      </w:r>
    </w:p>
    <w:p w14:paraId="46EE32C9" w14:textId="7706F488" w:rsidR="007D2383" w:rsidRDefault="00A97718" w:rsidP="00691353">
      <w:pPr>
        <w:pStyle w:val="p3"/>
        <w:spacing w:before="0" w:beforeAutospacing="0" w:after="0" w:afterAutospacing="0" w:line="360" w:lineRule="auto"/>
        <w:ind w:firstLine="709"/>
        <w:jc w:val="both"/>
        <w:rPr>
          <w:sz w:val="28"/>
          <w:szCs w:val="28"/>
        </w:rPr>
      </w:pPr>
      <w:r>
        <w:rPr>
          <w:sz w:val="28"/>
          <w:szCs w:val="28"/>
          <w:lang w:val="en-US"/>
        </w:rPr>
        <w:t>3</w:t>
      </w:r>
      <w:r w:rsidR="007D2383">
        <w:rPr>
          <w:sz w:val="28"/>
          <w:szCs w:val="28"/>
        </w:rPr>
        <w:t xml:space="preserve">. </w:t>
      </w:r>
      <w:proofErr w:type="spellStart"/>
      <w:r w:rsidR="007D2383" w:rsidRPr="007D2383">
        <w:rPr>
          <w:sz w:val="28"/>
          <w:szCs w:val="28"/>
        </w:rPr>
        <w:t>Оболонкова</w:t>
      </w:r>
      <w:proofErr w:type="spellEnd"/>
      <w:r w:rsidR="007D2383" w:rsidRPr="007D2383">
        <w:rPr>
          <w:sz w:val="28"/>
          <w:szCs w:val="28"/>
        </w:rPr>
        <w:t xml:space="preserve"> Ю. Н. Тенденций и перспектив развития лечебно-оздоровительного туризма в Российской Федерации // Инновационный потенциал развития общества: взгляд молодых ученых: сборник научных статей 4-й Всероссийской научной конференции перспективных разработок, Курск, 01 декабря 2023 года. Курск: ЗАО «Университетская книга», 2023. С. 400-404.</w:t>
      </w:r>
    </w:p>
    <w:p w14:paraId="383BDE2B" w14:textId="77777777" w:rsidR="007D2383" w:rsidRPr="00E9552F" w:rsidRDefault="007D2383" w:rsidP="00691353">
      <w:pPr>
        <w:pStyle w:val="p3"/>
        <w:spacing w:before="0" w:beforeAutospacing="0" w:after="0" w:afterAutospacing="0" w:line="360" w:lineRule="auto"/>
        <w:ind w:firstLine="709"/>
        <w:jc w:val="both"/>
        <w:rPr>
          <w:sz w:val="28"/>
          <w:szCs w:val="28"/>
        </w:rPr>
      </w:pPr>
    </w:p>
    <w:sectPr w:rsidR="007D2383" w:rsidRPr="00E9552F" w:rsidSect="00DE405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3934"/>
    <w:rsid w:val="00143AB2"/>
    <w:rsid w:val="00370BA5"/>
    <w:rsid w:val="003B3F67"/>
    <w:rsid w:val="00407A61"/>
    <w:rsid w:val="0041186E"/>
    <w:rsid w:val="004E07B2"/>
    <w:rsid w:val="0057672A"/>
    <w:rsid w:val="005A3281"/>
    <w:rsid w:val="00691353"/>
    <w:rsid w:val="006D6420"/>
    <w:rsid w:val="00712549"/>
    <w:rsid w:val="007D2383"/>
    <w:rsid w:val="008219B3"/>
    <w:rsid w:val="008A0EAE"/>
    <w:rsid w:val="008D5DFE"/>
    <w:rsid w:val="009F331D"/>
    <w:rsid w:val="00A30B53"/>
    <w:rsid w:val="00A97718"/>
    <w:rsid w:val="00BA46E5"/>
    <w:rsid w:val="00BB361F"/>
    <w:rsid w:val="00C73F02"/>
    <w:rsid w:val="00CE090C"/>
    <w:rsid w:val="00D63934"/>
    <w:rsid w:val="00DE4057"/>
    <w:rsid w:val="00E3168D"/>
    <w:rsid w:val="00E44F4A"/>
    <w:rsid w:val="00E50177"/>
    <w:rsid w:val="00E95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DF27"/>
  <w15:docId w15:val="{48F8F28E-6AB3-BC4A-9A34-79DD1A71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DFE"/>
  </w:style>
  <w:style w:type="paragraph" w:styleId="1">
    <w:name w:val="heading 1"/>
    <w:basedOn w:val="a"/>
    <w:next w:val="a"/>
    <w:link w:val="10"/>
    <w:uiPriority w:val="9"/>
    <w:qFormat/>
    <w:rsid w:val="00D6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6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D639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639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639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639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39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39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39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9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9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9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9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9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9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93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9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934"/>
    <w:rPr>
      <w:rFonts w:eastAsiaTheme="majorEastAsia" w:cstheme="majorBidi"/>
      <w:color w:val="272727" w:themeColor="text1" w:themeTint="D8"/>
    </w:rPr>
  </w:style>
  <w:style w:type="paragraph" w:styleId="a3">
    <w:name w:val="Title"/>
    <w:basedOn w:val="a"/>
    <w:next w:val="a"/>
    <w:link w:val="a4"/>
    <w:uiPriority w:val="10"/>
    <w:qFormat/>
    <w:rsid w:val="00D6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39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9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39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3934"/>
    <w:pPr>
      <w:spacing w:before="160"/>
      <w:jc w:val="center"/>
    </w:pPr>
    <w:rPr>
      <w:i/>
      <w:iCs/>
      <w:color w:val="404040" w:themeColor="text1" w:themeTint="BF"/>
    </w:rPr>
  </w:style>
  <w:style w:type="character" w:customStyle="1" w:styleId="22">
    <w:name w:val="Цитата 2 Знак"/>
    <w:basedOn w:val="a0"/>
    <w:link w:val="21"/>
    <w:uiPriority w:val="29"/>
    <w:rsid w:val="00D63934"/>
    <w:rPr>
      <w:i/>
      <w:iCs/>
      <w:color w:val="404040" w:themeColor="text1" w:themeTint="BF"/>
    </w:rPr>
  </w:style>
  <w:style w:type="paragraph" w:styleId="a7">
    <w:name w:val="List Paragraph"/>
    <w:basedOn w:val="a"/>
    <w:uiPriority w:val="34"/>
    <w:qFormat/>
    <w:rsid w:val="00D63934"/>
    <w:pPr>
      <w:ind w:left="720"/>
      <w:contextualSpacing/>
    </w:pPr>
  </w:style>
  <w:style w:type="character" w:styleId="a8">
    <w:name w:val="Intense Emphasis"/>
    <w:basedOn w:val="a0"/>
    <w:uiPriority w:val="21"/>
    <w:qFormat/>
    <w:rsid w:val="00D63934"/>
    <w:rPr>
      <w:i/>
      <w:iCs/>
      <w:color w:val="0F4761" w:themeColor="accent1" w:themeShade="BF"/>
    </w:rPr>
  </w:style>
  <w:style w:type="paragraph" w:styleId="a9">
    <w:name w:val="Intense Quote"/>
    <w:basedOn w:val="a"/>
    <w:next w:val="a"/>
    <w:link w:val="aa"/>
    <w:uiPriority w:val="30"/>
    <w:qFormat/>
    <w:rsid w:val="00D6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63934"/>
    <w:rPr>
      <w:i/>
      <w:iCs/>
      <w:color w:val="0F4761" w:themeColor="accent1" w:themeShade="BF"/>
    </w:rPr>
  </w:style>
  <w:style w:type="character" w:styleId="ab">
    <w:name w:val="Intense Reference"/>
    <w:basedOn w:val="a0"/>
    <w:uiPriority w:val="32"/>
    <w:qFormat/>
    <w:rsid w:val="00D63934"/>
    <w:rPr>
      <w:b/>
      <w:bCs/>
      <w:smallCaps/>
      <w:color w:val="0F4761" w:themeColor="accent1" w:themeShade="BF"/>
      <w:spacing w:val="5"/>
    </w:rPr>
  </w:style>
  <w:style w:type="paragraph" w:customStyle="1" w:styleId="p1">
    <w:name w:val="p1"/>
    <w:basedOn w:val="a"/>
    <w:rsid w:val="00D63934"/>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p2">
    <w:name w:val="p2"/>
    <w:basedOn w:val="a"/>
    <w:rsid w:val="00D63934"/>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p3">
    <w:name w:val="p3"/>
    <w:basedOn w:val="a"/>
    <w:rsid w:val="00D63934"/>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p4">
    <w:name w:val="p4"/>
    <w:basedOn w:val="a"/>
    <w:rsid w:val="00D6393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s1">
    <w:name w:val="s1"/>
    <w:basedOn w:val="a0"/>
    <w:rsid w:val="00D63934"/>
  </w:style>
  <w:style w:type="paragraph" w:customStyle="1" w:styleId="p5">
    <w:name w:val="p5"/>
    <w:basedOn w:val="a"/>
    <w:rsid w:val="00D6393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apple-tab-span">
    <w:name w:val="apple-tab-span"/>
    <w:basedOn w:val="a0"/>
    <w:rsid w:val="00D63934"/>
  </w:style>
  <w:style w:type="paragraph" w:customStyle="1" w:styleId="p6">
    <w:name w:val="p6"/>
    <w:basedOn w:val="a"/>
    <w:rsid w:val="00D6393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s2">
    <w:name w:val="s2"/>
    <w:basedOn w:val="a0"/>
    <w:rsid w:val="00D63934"/>
  </w:style>
  <w:style w:type="character" w:styleId="ac">
    <w:name w:val="Hyperlink"/>
    <w:basedOn w:val="a0"/>
    <w:uiPriority w:val="99"/>
    <w:unhideWhenUsed/>
    <w:qFormat/>
    <w:rsid w:val="00DE4057"/>
    <w:rPr>
      <w:color w:val="467886" w:themeColor="hyperlink"/>
      <w:u w:val="single"/>
    </w:rPr>
  </w:style>
  <w:style w:type="character" w:customStyle="1" w:styleId="ezkurwreuab5ozgtqnkl">
    <w:name w:val="ezkurwreuab5ozgtqnkl"/>
    <w:basedOn w:val="a0"/>
    <w:rsid w:val="00DE4057"/>
  </w:style>
  <w:style w:type="character" w:styleId="ad">
    <w:name w:val="Unresolved Mention"/>
    <w:basedOn w:val="a0"/>
    <w:uiPriority w:val="99"/>
    <w:semiHidden/>
    <w:unhideWhenUsed/>
    <w:rsid w:val="00411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89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Количество туристов, млн чел.</c:v>
                </c:pt>
              </c:strCache>
            </c:strRef>
          </c:tx>
          <c:spPr>
            <a:solidFill>
              <a:schemeClr val="accent1"/>
            </a:solidFill>
            <a:ln>
              <a:noFill/>
            </a:ln>
            <a:effectLst/>
          </c:spPr>
          <c:invertIfNegative val="0"/>
          <c:cat>
            <c:numRef>
              <c:f>Лист1!$A$2:$A$3</c:f>
              <c:numCache>
                <c:formatCode>General</c:formatCode>
                <c:ptCount val="2"/>
                <c:pt idx="0">
                  <c:v>2024</c:v>
                </c:pt>
                <c:pt idx="1">
                  <c:v>2025</c:v>
                </c:pt>
              </c:numCache>
            </c:numRef>
          </c:cat>
          <c:val>
            <c:numRef>
              <c:f>Лист1!$B$2:$B$3</c:f>
              <c:numCache>
                <c:formatCode>General</c:formatCode>
                <c:ptCount val="2"/>
                <c:pt idx="0">
                  <c:v>1.75</c:v>
                </c:pt>
                <c:pt idx="1">
                  <c:v>2</c:v>
                </c:pt>
              </c:numCache>
            </c:numRef>
          </c:val>
          <c:extLst>
            <c:ext xmlns:c16="http://schemas.microsoft.com/office/drawing/2014/chart" uri="{C3380CC4-5D6E-409C-BE32-E72D297353CC}">
              <c16:uniqueId val="{00000000-8449-0445-A58A-3AAB1D9EE88C}"/>
            </c:ext>
          </c:extLst>
        </c:ser>
        <c:dLbls>
          <c:showLegendKey val="0"/>
          <c:showVal val="0"/>
          <c:showCatName val="0"/>
          <c:showSerName val="0"/>
          <c:showPercent val="0"/>
          <c:showBubbleSize val="0"/>
        </c:dLbls>
        <c:gapWidth val="219"/>
        <c:overlap val="-27"/>
        <c:axId val="840021567"/>
        <c:axId val="839077375"/>
      </c:barChart>
      <c:catAx>
        <c:axId val="84002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9077375"/>
        <c:crosses val="autoZero"/>
        <c:auto val="1"/>
        <c:lblAlgn val="ctr"/>
        <c:lblOffset val="100"/>
        <c:noMultiLvlLbl val="0"/>
      </c:catAx>
      <c:valAx>
        <c:axId val="83907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0021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2024</c:v>
                </c:pt>
              </c:strCache>
            </c:strRef>
          </c:tx>
          <c:spPr>
            <a:solidFill>
              <a:schemeClr val="accent1"/>
            </a:solidFill>
            <a:ln>
              <a:noFill/>
            </a:ln>
            <a:effectLst/>
          </c:spPr>
          <c:invertIfNegative val="0"/>
          <c:cat>
            <c:strRef>
              <c:f>Лист1!$A$2:$A$4</c:f>
              <c:strCache>
                <c:ptCount val="3"/>
                <c:pt idx="0">
                  <c:v>Учреждения с медицинской сертификацией</c:v>
                </c:pt>
                <c:pt idx="1">
                  <c:v>Учреждения с современным оборудованием</c:v>
                </c:pt>
                <c:pt idx="2">
                  <c:v>Учреждения с цифровыми технологиями</c:v>
                </c:pt>
              </c:strCache>
            </c:strRef>
          </c:cat>
          <c:val>
            <c:numRef>
              <c:f>Лист1!$B$2:$B$4</c:f>
              <c:numCache>
                <c:formatCode>0%</c:formatCode>
                <c:ptCount val="3"/>
                <c:pt idx="0">
                  <c:v>0.38</c:v>
                </c:pt>
                <c:pt idx="1">
                  <c:v>0.65</c:v>
                </c:pt>
                <c:pt idx="2">
                  <c:v>0.45</c:v>
                </c:pt>
              </c:numCache>
            </c:numRef>
          </c:val>
          <c:extLst>
            <c:ext xmlns:c16="http://schemas.microsoft.com/office/drawing/2014/chart" uri="{C3380CC4-5D6E-409C-BE32-E72D297353CC}">
              <c16:uniqueId val="{00000000-2DD6-2749-AF9B-3C34078E6EAC}"/>
            </c:ext>
          </c:extLst>
        </c:ser>
        <c:ser>
          <c:idx val="1"/>
          <c:order val="1"/>
          <c:tx>
            <c:strRef>
              <c:f>Лист1!$C$1</c:f>
              <c:strCache>
                <c:ptCount val="1"/>
                <c:pt idx="0">
                  <c:v>2025</c:v>
                </c:pt>
              </c:strCache>
            </c:strRef>
          </c:tx>
          <c:spPr>
            <a:solidFill>
              <a:schemeClr val="accent2"/>
            </a:solidFill>
            <a:ln>
              <a:noFill/>
            </a:ln>
            <a:effectLst/>
          </c:spPr>
          <c:invertIfNegative val="0"/>
          <c:cat>
            <c:strRef>
              <c:f>Лист1!$A$2:$A$4</c:f>
              <c:strCache>
                <c:ptCount val="3"/>
                <c:pt idx="0">
                  <c:v>Учреждения с медицинской сертификацией</c:v>
                </c:pt>
                <c:pt idx="1">
                  <c:v>Учреждения с современным оборудованием</c:v>
                </c:pt>
                <c:pt idx="2">
                  <c:v>Учреждения с цифровыми технологиями</c:v>
                </c:pt>
              </c:strCache>
            </c:strRef>
          </c:cat>
          <c:val>
            <c:numRef>
              <c:f>Лист1!$C$2:$C$4</c:f>
              <c:numCache>
                <c:formatCode>0%</c:formatCode>
                <c:ptCount val="3"/>
                <c:pt idx="0">
                  <c:v>0.4</c:v>
                </c:pt>
                <c:pt idx="1">
                  <c:v>0.66</c:v>
                </c:pt>
                <c:pt idx="2">
                  <c:v>0.47</c:v>
                </c:pt>
              </c:numCache>
            </c:numRef>
          </c:val>
          <c:extLst>
            <c:ext xmlns:c16="http://schemas.microsoft.com/office/drawing/2014/chart" uri="{C3380CC4-5D6E-409C-BE32-E72D297353CC}">
              <c16:uniqueId val="{00000001-2DD6-2749-AF9B-3C34078E6EAC}"/>
            </c:ext>
          </c:extLst>
        </c:ser>
        <c:dLbls>
          <c:showLegendKey val="0"/>
          <c:showVal val="0"/>
          <c:showCatName val="0"/>
          <c:showSerName val="0"/>
          <c:showPercent val="0"/>
          <c:showBubbleSize val="0"/>
        </c:dLbls>
        <c:gapWidth val="219"/>
        <c:overlap val="-27"/>
        <c:axId val="890710079"/>
        <c:axId val="890710527"/>
      </c:barChart>
      <c:catAx>
        <c:axId val="890710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90710527"/>
        <c:crosses val="autoZero"/>
        <c:auto val="1"/>
        <c:lblAlgn val="ctr"/>
        <c:lblOffset val="100"/>
        <c:noMultiLvlLbl val="0"/>
      </c:catAx>
      <c:valAx>
        <c:axId val="890710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90710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2024</c:v>
                </c:pt>
              </c:strCache>
            </c:strRef>
          </c:tx>
          <c:spPr>
            <a:solidFill>
              <a:schemeClr val="accent1"/>
            </a:solidFill>
            <a:ln>
              <a:noFill/>
            </a:ln>
            <a:effectLst/>
          </c:spPr>
          <c:invertIfNegative val="0"/>
          <c:cat>
            <c:strRef>
              <c:f>Лист1!$A$2:$A$3</c:f>
              <c:strCache>
                <c:ptCount val="2"/>
                <c:pt idx="0">
                  <c:v>Доступность достоверной информации (трудности у туристов)</c:v>
                </c:pt>
                <c:pt idx="1">
                  <c:v>Туристы, приезжающие на личном транспорте</c:v>
                </c:pt>
              </c:strCache>
            </c:strRef>
          </c:cat>
          <c:val>
            <c:numRef>
              <c:f>Лист1!$B$2:$B$3</c:f>
              <c:numCache>
                <c:formatCode>0%</c:formatCode>
                <c:ptCount val="2"/>
                <c:pt idx="0">
                  <c:v>0.42</c:v>
                </c:pt>
                <c:pt idx="1">
                  <c:v>0.56999999999999995</c:v>
                </c:pt>
              </c:numCache>
            </c:numRef>
          </c:val>
          <c:extLst>
            <c:ext xmlns:c16="http://schemas.microsoft.com/office/drawing/2014/chart" uri="{C3380CC4-5D6E-409C-BE32-E72D297353CC}">
              <c16:uniqueId val="{00000000-8684-1D4E-B2AA-06E0C1961B6C}"/>
            </c:ext>
          </c:extLst>
        </c:ser>
        <c:ser>
          <c:idx val="1"/>
          <c:order val="1"/>
          <c:tx>
            <c:strRef>
              <c:f>Лист1!$C$1</c:f>
              <c:strCache>
                <c:ptCount val="1"/>
                <c:pt idx="0">
                  <c:v>2025</c:v>
                </c:pt>
              </c:strCache>
            </c:strRef>
          </c:tx>
          <c:spPr>
            <a:solidFill>
              <a:schemeClr val="accent2"/>
            </a:solidFill>
            <a:ln>
              <a:noFill/>
            </a:ln>
            <a:effectLst/>
          </c:spPr>
          <c:invertIfNegative val="0"/>
          <c:cat>
            <c:strRef>
              <c:f>Лист1!$A$2:$A$3</c:f>
              <c:strCache>
                <c:ptCount val="2"/>
                <c:pt idx="0">
                  <c:v>Доступность достоверной информации (трудности у туристов)</c:v>
                </c:pt>
                <c:pt idx="1">
                  <c:v>Туристы, приезжающие на личном транспорте</c:v>
                </c:pt>
              </c:strCache>
            </c:strRef>
          </c:cat>
          <c:val>
            <c:numRef>
              <c:f>Лист1!$C$2:$C$3</c:f>
              <c:numCache>
                <c:formatCode>0%</c:formatCode>
                <c:ptCount val="2"/>
                <c:pt idx="0">
                  <c:v>0.42</c:v>
                </c:pt>
                <c:pt idx="1">
                  <c:v>0.57999999999999996</c:v>
                </c:pt>
              </c:numCache>
            </c:numRef>
          </c:val>
          <c:extLst>
            <c:ext xmlns:c16="http://schemas.microsoft.com/office/drawing/2014/chart" uri="{C3380CC4-5D6E-409C-BE32-E72D297353CC}">
              <c16:uniqueId val="{00000001-8684-1D4E-B2AA-06E0C1961B6C}"/>
            </c:ext>
          </c:extLst>
        </c:ser>
        <c:dLbls>
          <c:showLegendKey val="0"/>
          <c:showVal val="0"/>
          <c:showCatName val="0"/>
          <c:showSerName val="0"/>
          <c:showPercent val="0"/>
          <c:showBubbleSize val="0"/>
        </c:dLbls>
        <c:gapWidth val="219"/>
        <c:overlap val="-27"/>
        <c:axId val="890924415"/>
        <c:axId val="873510911"/>
      </c:barChart>
      <c:catAx>
        <c:axId val="89092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3510911"/>
        <c:crosses val="autoZero"/>
        <c:auto val="1"/>
        <c:lblAlgn val="ctr"/>
        <c:lblOffset val="100"/>
        <c:noMultiLvlLbl val="0"/>
      </c:catAx>
      <c:valAx>
        <c:axId val="873510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9092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1580</Words>
  <Characters>9008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Лобян</dc:creator>
  <cp:keywords/>
  <dc:description/>
  <cp:lastModifiedBy>Георгий</cp:lastModifiedBy>
  <cp:revision>2</cp:revision>
  <dcterms:created xsi:type="dcterms:W3CDTF">2026-03-21T17:02:00Z</dcterms:created>
  <dcterms:modified xsi:type="dcterms:W3CDTF">2026-03-21T17:02:00Z</dcterms:modified>
</cp:coreProperties>
</file>